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54" w:lineRule="exact"/>
        <w:jc w:val="both"/>
        <w:rPr>
          <w:rFonts w:ascii="Times New Roman" w:hAnsi="Times New Roman" w:eastAsia="方正小标宋简体" w:cs="方正小标宋简体"/>
          <w:sz w:val="44"/>
          <w:szCs w:val="44"/>
        </w:rPr>
      </w:pPr>
    </w:p>
    <w:p>
      <w:pPr>
        <w:spacing w:after="0" w:line="554" w:lineRule="exact"/>
        <w:jc w:val="center"/>
        <w:rPr>
          <w:rFonts w:ascii="Times New Roman" w:hAnsi="Times New Roman" w:eastAsia="方正小标宋简体" w:cs="方正小标宋简体"/>
          <w:sz w:val="44"/>
          <w:szCs w:val="44"/>
        </w:rPr>
      </w:pPr>
    </w:p>
    <w:p>
      <w:pPr>
        <w:kinsoku w:val="0"/>
        <w:topLinePunct/>
        <w:jc w:val="center"/>
        <w:rPr>
          <w:rFonts w:ascii="方正小标宋简体" w:hAnsi="ˎ̥" w:eastAsia="方正小标宋简体"/>
          <w:sz w:val="44"/>
          <w:szCs w:val="44"/>
        </w:rPr>
      </w:pPr>
      <w:r>
        <w:rPr>
          <w:rFonts w:hint="eastAsia" w:ascii="方正小标宋简体" w:hAnsi="ˎ̥" w:eastAsia="方正小标宋简体"/>
          <w:sz w:val="44"/>
          <w:szCs w:val="44"/>
        </w:rPr>
        <w:t>比如县宣传部2025年度部门决算公开报告</w:t>
      </w:r>
    </w:p>
    <w:p>
      <w:pPr>
        <w:kinsoku w:val="0"/>
        <w:topLinePunct/>
        <w:jc w:val="center"/>
        <w:rPr>
          <w:rFonts w:ascii="黑体" w:hAnsi="黑体" w:eastAsia="黑体" w:cs="黑体"/>
          <w:sz w:val="44"/>
          <w:szCs w:val="44"/>
        </w:rPr>
      </w:pPr>
      <w:bookmarkStart w:id="0" w:name="_Toc11440_WPSOffice_Type2"/>
      <w:r>
        <w:rPr>
          <w:rFonts w:hint="eastAsia" w:ascii="黑体" w:hAnsi="黑体" w:eastAsia="黑体" w:cs="黑体"/>
          <w:sz w:val="44"/>
          <w:szCs w:val="44"/>
        </w:rPr>
        <w:t>目  录</w:t>
      </w:r>
    </w:p>
    <w:p>
      <w:pPr>
        <w:pStyle w:val="21"/>
        <w:tabs>
          <w:tab w:val="right" w:leader="dot" w:pos="8306"/>
        </w:tabs>
        <w:kinsoku w:val="0"/>
        <w:topLinePunct/>
        <w:spacing w:line="576" w:lineRule="exact"/>
        <w:rPr>
          <w:sz w:val="32"/>
          <w:szCs w:val="32"/>
        </w:rPr>
      </w:pPr>
      <w:r>
        <w:fldChar w:fldCharType="begin"/>
      </w:r>
      <w:r>
        <w:instrText xml:space="preserve"> HYPERLINK \l "_Toc1704_WPSOffice_Level1" </w:instrText>
      </w:r>
      <w:r>
        <w:fldChar w:fldCharType="separate"/>
      </w:r>
      <w:r>
        <w:rPr>
          <w:rFonts w:eastAsia="黑体"/>
          <w:sz w:val="32"/>
          <w:szCs w:val="32"/>
        </w:rPr>
        <w:t>第一部分 基本情况</w:t>
      </w:r>
      <w:r>
        <w:rPr>
          <w:sz w:val="32"/>
          <w:szCs w:val="32"/>
        </w:rPr>
        <w:tab/>
      </w:r>
      <w:r>
        <w:rPr>
          <w:sz w:val="32"/>
          <w:szCs w:val="32"/>
        </w:rPr>
        <w:fldChar w:fldCharType="end"/>
      </w:r>
      <w:r>
        <w:rPr>
          <w:sz w:val="32"/>
          <w:szCs w:val="32"/>
        </w:rPr>
        <w:t>2</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"_Toc20274_WPSOffice_Level2" </w:instrText>
      </w:r>
      <w:r>
        <w:fldChar w:fldCharType="separate"/>
      </w:r>
      <w:r>
        <w:rPr>
          <w:rFonts w:eastAsia="仿宋"/>
          <w:sz w:val="32"/>
          <w:szCs w:val="32"/>
        </w:rPr>
        <w:t>一、部门（单位）职责</w:t>
      </w:r>
      <w:r>
        <w:rPr>
          <w:rFonts w:eastAsia="仿宋"/>
          <w:sz w:val="32"/>
          <w:szCs w:val="32"/>
        </w:rPr>
        <w:tab/>
      </w:r>
      <w:r>
        <w:rPr>
          <w:rFonts w:eastAsia="仿宋"/>
          <w:sz w:val="32"/>
          <w:szCs w:val="32"/>
        </w:rPr>
        <w:fldChar w:fldCharType="end"/>
      </w:r>
      <w:r>
        <w:rPr>
          <w:rFonts w:eastAsia="仿宋"/>
          <w:sz w:val="32"/>
          <w:szCs w:val="32"/>
        </w:rPr>
        <w:t>2</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"_Toc4833_WPSOffice_Level2" </w:instrText>
      </w:r>
      <w:r>
        <w:fldChar w:fldCharType="separate"/>
      </w:r>
      <w:r>
        <w:rPr>
          <w:rFonts w:eastAsia="仿宋"/>
          <w:sz w:val="32"/>
          <w:szCs w:val="32"/>
        </w:rPr>
        <w:t>二、机构设置</w:t>
      </w:r>
      <w:r>
        <w:rPr>
          <w:rFonts w:eastAsia="仿宋"/>
          <w:sz w:val="32"/>
          <w:szCs w:val="32"/>
        </w:rPr>
        <w:tab/>
      </w:r>
      <w:r>
        <w:rPr>
          <w:rFonts w:eastAsia="仿宋"/>
          <w:sz w:val="32"/>
          <w:szCs w:val="32"/>
        </w:rPr>
        <w:fldChar w:fldCharType="end"/>
      </w:r>
      <w:r>
        <w:rPr>
          <w:rFonts w:eastAsia="仿宋"/>
          <w:sz w:val="32"/>
          <w:szCs w:val="32"/>
        </w:rPr>
        <w:t>2</w:t>
      </w:r>
    </w:p>
    <w:p>
      <w:pPr>
        <w:pStyle w:val="21"/>
        <w:tabs>
          <w:tab w:val="right" w:leader="dot" w:pos="8306"/>
        </w:tabs>
        <w:kinsoku w:val="0"/>
        <w:topLinePunct/>
        <w:spacing w:line="576" w:lineRule="exact"/>
        <w:rPr>
          <w:sz w:val="32"/>
          <w:szCs w:val="32"/>
        </w:rPr>
      </w:pPr>
      <w:r>
        <w:fldChar w:fldCharType="begin"/>
      </w:r>
      <w:r>
        <w:instrText xml:space="preserve"> HYPERLINK \l "_Toc28253_WPSOffice_Level1" </w:instrText>
      </w:r>
      <w:r>
        <w:fldChar w:fldCharType="separate"/>
      </w:r>
      <w:r>
        <w:rPr>
          <w:rFonts w:eastAsia="黑体"/>
          <w:sz w:val="32"/>
          <w:szCs w:val="32"/>
        </w:rPr>
        <w:t>第二部分  202</w:t>
      </w:r>
      <w:r>
        <w:rPr>
          <w:rFonts w:hint="eastAsia" w:eastAsia="黑体"/>
          <w:sz w:val="32"/>
          <w:szCs w:val="32"/>
        </w:rPr>
        <w:t>5</w:t>
      </w:r>
      <w:r>
        <w:rPr>
          <w:rFonts w:eastAsia="黑体"/>
          <w:sz w:val="32"/>
          <w:szCs w:val="32"/>
        </w:rPr>
        <w:t>年度部门决算公开表</w:t>
      </w:r>
      <w:r>
        <w:rPr>
          <w:sz w:val="32"/>
          <w:szCs w:val="32"/>
        </w:rPr>
        <w:tab/>
      </w:r>
      <w:r>
        <w:rPr>
          <w:sz w:val="32"/>
          <w:szCs w:val="32"/>
        </w:rPr>
        <w:fldChar w:fldCharType="end"/>
      </w:r>
      <w:r>
        <w:rPr>
          <w:sz w:val="32"/>
          <w:szCs w:val="32"/>
        </w:rPr>
        <w:t>2</w:t>
      </w:r>
    </w:p>
    <w:p>
      <w:pPr>
        <w:pStyle w:val="21"/>
        <w:tabs>
          <w:tab w:val="right" w:leader="dot" w:pos="8306"/>
        </w:tabs>
        <w:kinsoku w:val="0"/>
        <w:topLinePunct/>
        <w:spacing w:line="576" w:lineRule="exact"/>
        <w:rPr>
          <w:sz w:val="32"/>
          <w:szCs w:val="32"/>
        </w:rPr>
      </w:pPr>
      <w:r>
        <w:fldChar w:fldCharType="begin"/>
      </w:r>
      <w:r>
        <w:instrText xml:space="preserve"> HYPERLINK \l "_Toc27590_WPSOffice_Level1" </w:instrText>
      </w:r>
      <w:r>
        <w:fldChar w:fldCharType="separate"/>
      </w:r>
      <w:r>
        <w:rPr>
          <w:rFonts w:eastAsia="黑体"/>
          <w:sz w:val="32"/>
          <w:szCs w:val="32"/>
        </w:rPr>
        <w:t>第三部分202</w:t>
      </w:r>
      <w:r>
        <w:rPr>
          <w:rFonts w:hint="eastAsia" w:eastAsia="黑体"/>
          <w:sz w:val="32"/>
          <w:szCs w:val="32"/>
        </w:rPr>
        <w:t>5</w:t>
      </w:r>
      <w:r>
        <w:rPr>
          <w:rFonts w:eastAsia="黑体"/>
          <w:sz w:val="32"/>
          <w:szCs w:val="32"/>
        </w:rPr>
        <w:t>年度部门决算情况说明</w:t>
      </w:r>
      <w:r>
        <w:rPr>
          <w:sz w:val="32"/>
          <w:szCs w:val="32"/>
        </w:rPr>
        <w:tab/>
      </w:r>
      <w:r>
        <w:rPr>
          <w:sz w:val="32"/>
          <w:szCs w:val="32"/>
        </w:rPr>
        <w:fldChar w:fldCharType="end"/>
      </w:r>
      <w:r>
        <w:rPr>
          <w:sz w:val="32"/>
          <w:szCs w:val="32"/>
        </w:rPr>
        <w:t>3</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"_Toc21737_WPSOffice_Level2" </w:instrText>
      </w:r>
      <w:r>
        <w:fldChar w:fldCharType="separate"/>
      </w:r>
      <w:r>
        <w:rPr>
          <w:rFonts w:eastAsia="仿宋"/>
          <w:bCs/>
          <w:sz w:val="32"/>
          <w:szCs w:val="32"/>
        </w:rPr>
        <w:t>一、收入支出总体情况说明</w:t>
      </w:r>
      <w:r>
        <w:rPr>
          <w:rFonts w:eastAsia="仿宋"/>
          <w:sz w:val="32"/>
          <w:szCs w:val="32"/>
        </w:rPr>
        <w:tab/>
      </w:r>
      <w:r>
        <w:rPr>
          <w:rFonts w:eastAsia="仿宋"/>
          <w:sz w:val="32"/>
          <w:szCs w:val="32"/>
        </w:rPr>
        <w:fldChar w:fldCharType="end"/>
      </w:r>
      <w:r>
        <w:rPr>
          <w:rFonts w:eastAsia="仿宋"/>
          <w:sz w:val="32"/>
          <w:szCs w:val="32"/>
        </w:rPr>
        <w:t>3</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二、收入决算情况说明</w:t>
      </w:r>
      <w:r>
        <w:rPr>
          <w:rFonts w:eastAsia="仿宋"/>
          <w:sz w:val="32"/>
          <w:szCs w:val="32"/>
        </w:rPr>
        <w:tab/>
      </w:r>
      <w:r>
        <w:rPr>
          <w:rFonts w:eastAsia="仿宋"/>
          <w:sz w:val="32"/>
          <w:szCs w:val="32"/>
        </w:rPr>
        <w:fldChar w:fldCharType="end"/>
      </w:r>
      <w:r>
        <w:rPr>
          <w:rFonts w:eastAsia="仿宋"/>
          <w:sz w:val="32"/>
          <w:szCs w:val="32"/>
        </w:rPr>
        <w:t>4</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三、支出决算情况说明</w:t>
      </w:r>
      <w:r>
        <w:rPr>
          <w:rFonts w:eastAsia="仿宋"/>
          <w:sz w:val="32"/>
          <w:szCs w:val="32"/>
        </w:rPr>
        <w:tab/>
      </w:r>
      <w:r>
        <w:rPr>
          <w:rFonts w:eastAsia="仿宋"/>
          <w:sz w:val="32"/>
          <w:szCs w:val="32"/>
        </w:rPr>
        <w:fldChar w:fldCharType="end"/>
      </w:r>
      <w:r>
        <w:rPr>
          <w:rFonts w:eastAsia="仿宋"/>
          <w:sz w:val="32"/>
          <w:szCs w:val="32"/>
        </w:rPr>
        <w:t>4</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四、财政拨款收入支出决算情况说明</w:t>
      </w:r>
      <w:r>
        <w:rPr>
          <w:rFonts w:eastAsia="仿宋"/>
          <w:sz w:val="32"/>
          <w:szCs w:val="32"/>
        </w:rPr>
        <w:tab/>
      </w:r>
      <w:r>
        <w:rPr>
          <w:rFonts w:eastAsia="仿宋"/>
          <w:sz w:val="32"/>
          <w:szCs w:val="32"/>
        </w:rPr>
        <w:fldChar w:fldCharType="end"/>
      </w:r>
      <w:r>
        <w:rPr>
          <w:rFonts w:eastAsia="仿宋"/>
          <w:sz w:val="32"/>
          <w:szCs w:val="32"/>
        </w:rPr>
        <w:t>4</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五、一般公共预算财政拨款支出决算情况说明</w:t>
      </w:r>
      <w:r>
        <w:rPr>
          <w:rFonts w:eastAsia="仿宋"/>
          <w:sz w:val="32"/>
          <w:szCs w:val="32"/>
        </w:rPr>
        <w:tab/>
      </w:r>
      <w:r>
        <w:rPr>
          <w:rFonts w:eastAsia="仿宋"/>
          <w:sz w:val="32"/>
          <w:szCs w:val="32"/>
        </w:rPr>
        <w:fldChar w:fldCharType="end"/>
      </w:r>
      <w:r>
        <w:rPr>
          <w:rFonts w:eastAsia="仿宋"/>
          <w:sz w:val="32"/>
          <w:szCs w:val="32"/>
        </w:rPr>
        <w:t>5</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六、一般公共预算财政拨款基本支出决算情况说明</w:t>
      </w:r>
      <w:r>
        <w:rPr>
          <w:rFonts w:eastAsia="仿宋"/>
          <w:bCs/>
          <w:sz w:val="32"/>
          <w:szCs w:val="32"/>
        </w:rPr>
        <w:fldChar w:fldCharType="end"/>
      </w:r>
      <w:r>
        <w:rPr>
          <w:rFonts w:eastAsia="仿宋"/>
          <w:sz w:val="32"/>
          <w:szCs w:val="32"/>
        </w:rPr>
        <w:tab/>
      </w:r>
      <w:r>
        <w:rPr>
          <w:rFonts w:eastAsia="仿宋"/>
          <w:sz w:val="32"/>
          <w:szCs w:val="32"/>
        </w:rPr>
        <w:t>6</w:t>
      </w:r>
    </w:p>
    <w:p>
      <w:pPr>
        <w:pStyle w:val="22"/>
        <w:tabs>
          <w:tab w:val="right" w:leader="dot" w:pos="8306"/>
        </w:tabs>
        <w:kinsoku w:val="0"/>
        <w:topLinePunct/>
        <w:spacing w:line="576" w:lineRule="exact"/>
        <w:ind w:leftChars="0"/>
        <w:rPr>
          <w:rFonts w:eastAsia="仿宋"/>
          <w:sz w:val="32"/>
          <w:szCs w:val="32"/>
        </w:rPr>
      </w:pPr>
      <w:r>
        <w:rPr>
          <w:rFonts w:eastAsia="仿宋"/>
          <w:bCs/>
          <w:sz w:val="32"/>
          <w:szCs w:val="32"/>
        </w:rPr>
        <w:t>七、政府性基金预算财政拨款支出决算情况说明</w:t>
      </w:r>
      <w:r>
        <w:rPr>
          <w:rFonts w:eastAsia="仿宋"/>
          <w:sz w:val="32"/>
          <w:szCs w:val="32"/>
        </w:rPr>
        <w:tab/>
      </w:r>
      <w:r>
        <w:rPr>
          <w:rFonts w:eastAsia="仿宋"/>
          <w:sz w:val="32"/>
          <w:szCs w:val="32"/>
        </w:rPr>
        <w:t>7</w:t>
      </w:r>
    </w:p>
    <w:p>
      <w:pPr>
        <w:pStyle w:val="22"/>
        <w:tabs>
          <w:tab w:val="right" w:leader="dot" w:pos="8306"/>
        </w:tabs>
        <w:kinsoku w:val="0"/>
        <w:topLinePunct/>
        <w:spacing w:line="576" w:lineRule="exact"/>
        <w:ind w:leftChars="0"/>
        <w:rPr>
          <w:rFonts w:eastAsia="仿宋"/>
          <w:sz w:val="32"/>
          <w:szCs w:val="32"/>
        </w:rPr>
      </w:pPr>
      <w:r>
        <w:rPr>
          <w:rFonts w:eastAsia="仿宋"/>
          <w:bCs/>
          <w:sz w:val="32"/>
          <w:szCs w:val="32"/>
        </w:rPr>
        <w:t>八、国有资本经营预算财政拨款支出决算情况说明</w:t>
      </w:r>
      <w:r>
        <w:rPr>
          <w:rFonts w:eastAsia="仿宋"/>
          <w:sz w:val="32"/>
          <w:szCs w:val="32"/>
        </w:rPr>
        <w:tab/>
      </w:r>
      <w:r>
        <w:rPr>
          <w:rFonts w:eastAsia="仿宋"/>
          <w:sz w:val="32"/>
          <w:szCs w:val="32"/>
        </w:rPr>
        <w:t>8</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九、财政拨款“三公”经费支出决算情况说明</w:t>
      </w:r>
      <w:r>
        <w:rPr>
          <w:rFonts w:eastAsia="仿宋"/>
          <w:sz w:val="32"/>
          <w:szCs w:val="32"/>
        </w:rPr>
        <w:tab/>
      </w:r>
      <w:r>
        <w:rPr>
          <w:rFonts w:eastAsia="仿宋"/>
          <w:sz w:val="32"/>
          <w:szCs w:val="32"/>
        </w:rPr>
        <w:fldChar w:fldCharType="end"/>
      </w:r>
      <w:r>
        <w:rPr>
          <w:rFonts w:eastAsia="仿宋"/>
          <w:sz w:val="32"/>
          <w:szCs w:val="32"/>
        </w:rPr>
        <w:t>9</w:t>
      </w:r>
    </w:p>
    <w:p>
      <w:pPr>
        <w:pStyle w:val="22"/>
        <w:tabs>
          <w:tab w:val="right" w:leader="dot" w:pos="8306"/>
        </w:tabs>
        <w:kinsoku w:val="0"/>
        <w:topLinePunct/>
        <w:spacing w:line="576"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十、预算绩效情况说明</w:t>
      </w:r>
      <w:r>
        <w:rPr>
          <w:rFonts w:eastAsia="仿宋"/>
          <w:sz w:val="32"/>
          <w:szCs w:val="32"/>
        </w:rPr>
        <w:tab/>
      </w:r>
      <w:r>
        <w:rPr>
          <w:rFonts w:eastAsia="仿宋"/>
          <w:sz w:val="32"/>
          <w:szCs w:val="32"/>
        </w:rPr>
        <w:fldChar w:fldCharType="end"/>
      </w:r>
      <w:r>
        <w:rPr>
          <w:rFonts w:eastAsia="仿宋"/>
          <w:sz w:val="32"/>
          <w:szCs w:val="32"/>
        </w:rPr>
        <w:t>11</w:t>
      </w:r>
    </w:p>
    <w:p>
      <w:pPr>
        <w:pStyle w:val="22"/>
        <w:tabs>
          <w:tab w:val="right" w:leader="dot" w:pos="8306"/>
        </w:tabs>
        <w:kinsoku w:val="0"/>
        <w:topLinePunct/>
        <w:spacing w:line="576" w:lineRule="exact"/>
        <w:ind w:leftChars="0"/>
        <w:rPr>
          <w:rFonts w:eastAsia="仿宋"/>
          <w:sz w:val="32"/>
          <w:szCs w:val="32"/>
        </w:rPr>
      </w:pPr>
      <w:r>
        <w:rPr>
          <w:rFonts w:eastAsia="仿宋"/>
          <w:bCs/>
          <w:sz w:val="32"/>
          <w:szCs w:val="32"/>
        </w:rPr>
        <w:t>十一、其他重要事项情况说明</w:t>
      </w:r>
      <w:r>
        <w:rPr>
          <w:rFonts w:eastAsia="仿宋"/>
          <w:sz w:val="32"/>
          <w:szCs w:val="32"/>
        </w:rPr>
        <w:tab/>
      </w:r>
      <w:r>
        <w:rPr>
          <w:rFonts w:eastAsia="仿宋"/>
          <w:sz w:val="32"/>
          <w:szCs w:val="32"/>
        </w:rPr>
        <w:t>13</w:t>
      </w:r>
    </w:p>
    <w:p>
      <w:pPr>
        <w:pStyle w:val="21"/>
        <w:tabs>
          <w:tab w:val="right" w:leader="dot" w:pos="8306"/>
        </w:tabs>
        <w:kinsoku w:val="0"/>
        <w:topLinePunct/>
        <w:spacing w:line="576" w:lineRule="exact"/>
        <w:rPr>
          <w:b/>
          <w:sz w:val="32"/>
          <w:szCs w:val="32"/>
        </w:rPr>
      </w:pPr>
      <w:r>
        <w:fldChar w:fldCharType="begin"/>
      </w:r>
      <w:r>
        <w:instrText xml:space="preserve"> HYPERLINK \l "_Toc15425_WPSOffice_Level1" </w:instrText>
      </w:r>
      <w:r>
        <w:fldChar w:fldCharType="separate"/>
      </w:r>
      <w:r>
        <w:rPr>
          <w:rFonts w:eastAsia="黑体"/>
          <w:sz w:val="32"/>
          <w:szCs w:val="32"/>
        </w:rPr>
        <w:t>第四部分  名词解释</w:t>
      </w:r>
      <w:r>
        <w:rPr>
          <w:sz w:val="32"/>
          <w:szCs w:val="32"/>
        </w:rPr>
        <w:tab/>
      </w:r>
      <w:r>
        <w:rPr>
          <w:sz w:val="32"/>
          <w:szCs w:val="32"/>
        </w:rPr>
        <w:t>1</w:t>
      </w:r>
      <w:r>
        <w:rPr>
          <w:sz w:val="32"/>
          <w:szCs w:val="32"/>
        </w:rPr>
        <w:fldChar w:fldCharType="end"/>
      </w:r>
      <w:r>
        <w:rPr>
          <w:sz w:val="32"/>
          <w:szCs w:val="32"/>
        </w:rPr>
        <w:t>5</w:t>
      </w:r>
    </w:p>
    <w:bookmarkEnd w:id="0"/>
    <w:p>
      <w:pPr>
        <w:kinsoku w:val="0"/>
        <w:topLinePunct/>
        <w:jc w:val="center"/>
        <w:rPr>
          <w:rFonts w:eastAsia="黑体"/>
          <w:szCs w:val="32"/>
        </w:rPr>
      </w:pPr>
      <w:bookmarkStart w:id="1" w:name="_Toc23465_WPSOffice_Level1"/>
      <w:bookmarkStart w:id="2" w:name="_Toc1704_WPSOffice_Level1"/>
      <w:bookmarkStart w:id="3" w:name="_Toc10049_WPSOffice_Level1"/>
      <w:bookmarkStart w:id="4" w:name="_Toc10720_WPSOffice_Level1"/>
      <w:bookmarkStart w:id="5" w:name="_Toc32433_WPSOffice_Level1"/>
      <w:bookmarkStart w:id="6" w:name="_Toc22941_WPSOffice_Level1"/>
      <w:bookmarkStart w:id="7" w:name="_Toc24238_WPSOffice_Level2"/>
      <w:bookmarkStart w:id="8" w:name="_Toc26580_WPSOffice_Level2"/>
      <w:bookmarkStart w:id="9" w:name="_Toc20205_WPSOffice_Level2"/>
      <w:bookmarkStart w:id="10" w:name="_Toc20274_WPSOffice_Level2"/>
      <w:bookmarkStart w:id="11" w:name="_Toc14159_WPSOffice_Level2"/>
      <w:bookmarkStart w:id="12" w:name="_Toc32622_WPSOffice_Level2"/>
      <w:r>
        <w:rPr>
          <w:rFonts w:hint="eastAsia" w:eastAsia="黑体"/>
          <w:szCs w:val="32"/>
        </w:rPr>
        <w:t xml:space="preserve">第一部分  </w:t>
      </w:r>
      <w:bookmarkEnd w:id="1"/>
      <w:bookmarkEnd w:id="2"/>
      <w:bookmarkEnd w:id="3"/>
      <w:bookmarkEnd w:id="4"/>
      <w:bookmarkEnd w:id="5"/>
      <w:bookmarkEnd w:id="6"/>
      <w:r>
        <w:rPr>
          <w:rFonts w:hint="eastAsia" w:eastAsia="黑体"/>
          <w:szCs w:val="32"/>
        </w:rPr>
        <w:t>基本情况</w:t>
      </w:r>
    </w:p>
    <w:p>
      <w:pPr>
        <w:kinsoku w:val="0"/>
        <w:topLinePunct/>
        <w:ind w:firstLine="640" w:firstLineChars="200"/>
        <w:rPr>
          <w:rFonts w:ascii="黑体" w:hAnsi="黑体" w:eastAsia="黑体" w:cs="黑体"/>
          <w:szCs w:val="32"/>
        </w:rPr>
      </w:pPr>
      <w:r>
        <w:rPr>
          <w:rFonts w:hint="eastAsia" w:ascii="黑体" w:hAnsi="黑体" w:eastAsia="黑体" w:cs="黑体"/>
          <w:szCs w:val="32"/>
        </w:rPr>
        <w:t>一、部门</w:t>
      </w:r>
      <w:bookmarkEnd w:id="7"/>
      <w:r>
        <w:rPr>
          <w:rFonts w:hint="eastAsia" w:ascii="黑体" w:hAnsi="黑体" w:eastAsia="黑体" w:cs="黑体"/>
          <w:szCs w:val="32"/>
        </w:rPr>
        <w:t>（单位）职责</w:t>
      </w:r>
      <w:bookmarkEnd w:id="8"/>
      <w:bookmarkEnd w:id="9"/>
      <w:bookmarkEnd w:id="10"/>
      <w:bookmarkEnd w:id="11"/>
      <w:bookmarkEnd w:id="12"/>
    </w:p>
    <w:p>
      <w:pPr>
        <w:kinsoku w:val="0"/>
        <w:topLinePunct/>
        <w:ind w:firstLine="640" w:firstLineChars="200"/>
        <w:rPr>
          <w:rFonts w:ascii="仿宋_GB2312" w:eastAsia="仿宋_GB2312"/>
          <w:szCs w:val="32"/>
        </w:rPr>
      </w:pPr>
      <w:r>
        <w:rPr>
          <w:rFonts w:hint="eastAsia" w:ascii="仿宋_GB2312" w:eastAsia="仿宋_GB2312"/>
          <w:szCs w:val="32"/>
        </w:rPr>
        <w:t>1.宣传贯彻落实党中央路线、方针、政策，拟定全县宣传思想文化工作的重大方针政策；</w:t>
      </w:r>
    </w:p>
    <w:p>
      <w:pPr>
        <w:kinsoku w:val="0"/>
        <w:topLinePunct/>
        <w:ind w:firstLine="640" w:firstLineChars="200"/>
        <w:rPr>
          <w:rFonts w:ascii="仿宋_GB2312" w:eastAsia="仿宋_GB2312"/>
          <w:szCs w:val="32"/>
        </w:rPr>
      </w:pPr>
      <w:r>
        <w:rPr>
          <w:rFonts w:hint="eastAsia" w:ascii="仿宋_GB2312" w:eastAsia="仿宋_GB2312"/>
          <w:szCs w:val="32"/>
        </w:rPr>
        <w:t>2.统筹协调全县党的意识形态工作，贯彻落实党中央、自治区党委、市委、县委关于意识形态的决策部署；</w:t>
      </w:r>
    </w:p>
    <w:p>
      <w:pPr>
        <w:kinsoku w:val="0"/>
        <w:topLinePunct/>
        <w:ind w:firstLine="640" w:firstLineChars="200"/>
        <w:rPr>
          <w:rFonts w:ascii="仿宋_GB2312" w:eastAsia="仿宋_GB2312"/>
          <w:szCs w:val="32"/>
        </w:rPr>
      </w:pPr>
      <w:r>
        <w:rPr>
          <w:rFonts w:hint="eastAsia" w:ascii="仿宋_GB2312" w:eastAsia="仿宋_GB2312"/>
          <w:szCs w:val="32"/>
        </w:rPr>
        <w:t>3.统筹指导协调全县理论研究、理论学习、理论宣传工作及意识形态工作责任制落实情况；</w:t>
      </w:r>
    </w:p>
    <w:p>
      <w:pPr>
        <w:kinsoku w:val="0"/>
        <w:topLinePunct/>
        <w:ind w:firstLine="640" w:firstLineChars="200"/>
        <w:rPr>
          <w:rFonts w:ascii="仿宋_GB2312" w:eastAsia="仿宋_GB2312"/>
          <w:szCs w:val="32"/>
        </w:rPr>
      </w:pPr>
      <w:r>
        <w:rPr>
          <w:rFonts w:hint="eastAsia" w:ascii="仿宋_GB2312" w:eastAsia="仿宋_GB2312"/>
          <w:szCs w:val="32"/>
        </w:rPr>
        <w:t>4.统筹协调精神文明创建、新闻出版、舆论信息等工作；</w:t>
      </w:r>
    </w:p>
    <w:p>
      <w:pPr>
        <w:kinsoku w:val="0"/>
        <w:topLinePunct/>
        <w:ind w:firstLine="640" w:firstLineChars="200"/>
        <w:rPr>
          <w:rFonts w:ascii="仿宋_GB2312" w:eastAsia="仿宋_GB2312"/>
          <w:szCs w:val="32"/>
        </w:rPr>
      </w:pPr>
      <w:r>
        <w:rPr>
          <w:rFonts w:hint="eastAsia" w:ascii="仿宋_GB2312" w:eastAsia="仿宋_GB2312"/>
          <w:szCs w:val="32"/>
        </w:rPr>
        <w:t>5.县委、上级宣传部安排的的其他工作。</w:t>
      </w:r>
    </w:p>
    <w:p>
      <w:pPr>
        <w:kinsoku w:val="0"/>
        <w:topLinePunct/>
        <w:ind w:firstLine="640" w:firstLineChars="200"/>
        <w:rPr>
          <w:rFonts w:ascii="黑体" w:hAnsi="黑体" w:eastAsia="黑体" w:cs="黑体"/>
          <w:szCs w:val="32"/>
        </w:rPr>
      </w:pPr>
      <w:bookmarkStart w:id="13" w:name="_Toc6572_WPSOffice_Level2"/>
      <w:bookmarkStart w:id="14" w:name="_Toc4833_WPSOffice_Level2"/>
      <w:bookmarkStart w:id="15" w:name="_Toc24059_WPSOffice_Level2"/>
      <w:bookmarkStart w:id="16" w:name="_Toc17796_WPSOffice_Level2"/>
      <w:bookmarkStart w:id="17" w:name="_Toc24474_WPSOffice_Level2"/>
      <w:r>
        <w:rPr>
          <w:rFonts w:hint="eastAsia" w:ascii="黑体" w:hAnsi="黑体" w:eastAsia="黑体" w:cs="黑体"/>
          <w:szCs w:val="32"/>
        </w:rPr>
        <w:t>二、机构设置</w:t>
      </w:r>
      <w:bookmarkEnd w:id="13"/>
      <w:bookmarkEnd w:id="14"/>
      <w:bookmarkEnd w:id="15"/>
      <w:bookmarkEnd w:id="16"/>
      <w:bookmarkEnd w:id="17"/>
    </w:p>
    <w:p>
      <w:pPr>
        <w:pStyle w:val="10"/>
        <w:kinsoku w:val="0"/>
        <w:topLinePunct/>
        <w:spacing w:beforeAutospacing="0" w:afterAutospacing="0"/>
        <w:ind w:firstLine="525"/>
        <w:rPr>
          <w:rFonts w:ascii="Times New Roman" w:hAnsi="Times New Roman" w:eastAsia="仿宋_GB2312"/>
          <w:sz w:val="32"/>
          <w:szCs w:val="32"/>
        </w:rPr>
      </w:pPr>
      <w:r>
        <w:rPr>
          <w:rFonts w:ascii="Times New Roman" w:hAnsi="Times New Roman" w:eastAsia="仿宋"/>
          <w:sz w:val="32"/>
          <w:szCs w:val="32"/>
        </w:rPr>
        <w:t>比如县委</w:t>
      </w:r>
      <w:r>
        <w:rPr>
          <w:rFonts w:hint="eastAsia" w:ascii="Times New Roman" w:hAnsi="Times New Roman" w:eastAsia="仿宋"/>
          <w:sz w:val="32"/>
          <w:szCs w:val="32"/>
        </w:rPr>
        <w:t>宣传部</w:t>
      </w:r>
      <w:r>
        <w:rPr>
          <w:rFonts w:ascii="Times New Roman" w:hAnsi="Times New Roman" w:eastAsia="仿宋"/>
          <w:sz w:val="32"/>
          <w:szCs w:val="32"/>
        </w:rPr>
        <w:t>为正科级</w:t>
      </w:r>
      <w:r>
        <w:rPr>
          <w:rFonts w:hint="eastAsia" w:ascii="Times New Roman" w:hAnsi="Times New Roman" w:eastAsia="仿宋"/>
          <w:sz w:val="32"/>
          <w:szCs w:val="32"/>
        </w:rPr>
        <w:t>机构</w:t>
      </w:r>
      <w:r>
        <w:rPr>
          <w:rFonts w:ascii="Times New Roman" w:hAnsi="Times New Roman" w:eastAsia="仿宋"/>
          <w:sz w:val="32"/>
          <w:szCs w:val="32"/>
        </w:rPr>
        <w:t>，</w:t>
      </w:r>
      <w:r>
        <w:rPr>
          <w:rFonts w:ascii="Times New Roman" w:hAnsi="Times New Roman" w:eastAsia="仿宋_GB2312"/>
          <w:sz w:val="32"/>
          <w:szCs w:val="32"/>
        </w:rPr>
        <w:t>内设机构</w:t>
      </w:r>
      <w:r>
        <w:rPr>
          <w:rFonts w:hint="eastAsia" w:ascii="Times New Roman" w:hAnsi="Times New Roman" w:eastAsia="仿宋_GB2312"/>
          <w:sz w:val="32"/>
          <w:szCs w:val="32"/>
        </w:rPr>
        <w:t>6</w:t>
      </w:r>
      <w:r>
        <w:rPr>
          <w:rFonts w:ascii="Times New Roman" w:hAnsi="Times New Roman" w:eastAsia="仿宋_GB2312"/>
          <w:sz w:val="32"/>
          <w:szCs w:val="32"/>
        </w:rPr>
        <w:t>个，分别为：</w:t>
      </w:r>
      <w:r>
        <w:rPr>
          <w:rFonts w:hint="eastAsia" w:ascii="Times New Roman" w:hAnsi="Times New Roman" w:eastAsia="仿宋_GB2312"/>
          <w:sz w:val="32"/>
          <w:szCs w:val="32"/>
        </w:rPr>
        <w:t>互联网服务中心、新时代文明实践活动中心、广播电视局、新闻出版局、政府新闻网办公室、扫黄打非办。</w:t>
      </w:r>
      <w:r>
        <w:rPr>
          <w:rFonts w:ascii="Times New Roman" w:hAnsi="Times New Roman" w:eastAsia="仿宋"/>
          <w:sz w:val="32"/>
          <w:szCs w:val="32"/>
        </w:rPr>
        <w:t>202</w:t>
      </w:r>
      <w:r>
        <w:rPr>
          <w:rFonts w:hint="eastAsia" w:ascii="Times New Roman" w:hAnsi="Times New Roman" w:eastAsia="仿宋"/>
          <w:sz w:val="32"/>
          <w:szCs w:val="32"/>
        </w:rPr>
        <w:t>5</w:t>
      </w:r>
      <w:r>
        <w:rPr>
          <w:rFonts w:ascii="Times New Roman" w:hAnsi="Times New Roman" w:eastAsia="仿宋"/>
          <w:sz w:val="32"/>
          <w:szCs w:val="32"/>
        </w:rPr>
        <w:t>年</w:t>
      </w:r>
      <w:r>
        <w:rPr>
          <w:rFonts w:hint="eastAsia" w:ascii="Times New Roman" w:hAnsi="Times New Roman" w:eastAsia="仿宋"/>
          <w:sz w:val="32"/>
          <w:szCs w:val="32"/>
        </w:rPr>
        <w:t>在职</w:t>
      </w:r>
      <w:r>
        <w:rPr>
          <w:rFonts w:ascii="Times New Roman" w:hAnsi="Times New Roman" w:eastAsia="仿宋"/>
          <w:sz w:val="32"/>
          <w:szCs w:val="32"/>
        </w:rPr>
        <w:t>干部</w:t>
      </w:r>
      <w:r>
        <w:rPr>
          <w:rFonts w:hint="eastAsia" w:ascii="Times New Roman" w:hAnsi="Times New Roman" w:eastAsia="仿宋"/>
          <w:sz w:val="32"/>
          <w:szCs w:val="32"/>
        </w:rPr>
        <w:t>职工11</w:t>
      </w:r>
      <w:r>
        <w:rPr>
          <w:rFonts w:ascii="Times New Roman" w:hAnsi="Times New Roman" w:eastAsia="仿宋"/>
          <w:sz w:val="32"/>
          <w:szCs w:val="32"/>
        </w:rPr>
        <w:t>人</w:t>
      </w:r>
      <w:r>
        <w:rPr>
          <w:rFonts w:hint="eastAsia" w:ascii="Times New Roman" w:hAnsi="Times New Roman" w:eastAsia="仿宋"/>
          <w:sz w:val="32"/>
          <w:szCs w:val="32"/>
        </w:rPr>
        <w:t>，</w:t>
      </w:r>
      <w:r>
        <w:rPr>
          <w:rFonts w:ascii="Times New Roman" w:hAnsi="Times New Roman" w:eastAsia="仿宋_GB2312"/>
          <w:sz w:val="32"/>
          <w:szCs w:val="32"/>
        </w:rPr>
        <w:t>经费来源于县财政局全额拨款。</w:t>
      </w:r>
      <w:bookmarkStart w:id="18" w:name="_Toc6234_WPSOffice_Level1"/>
      <w:bookmarkStart w:id="19" w:name="_Toc30451_WPSOffice_Level1"/>
      <w:bookmarkStart w:id="20" w:name="_Toc28253_WPSOffice_Level1"/>
      <w:bookmarkStart w:id="21" w:name="_Toc15521_WPSOffice_Level1"/>
      <w:bookmarkStart w:id="22" w:name="_Toc8164_WPSOffice_Level1"/>
      <w:bookmarkStart w:id="23" w:name="_Toc30690_WPSOffice_Level1"/>
      <w:bookmarkStart w:id="24" w:name="_Toc8867_WPSOffice_Level2"/>
      <w:bookmarkStart w:id="25" w:name="_Toc11518_WPSOffice_Level2"/>
      <w:bookmarkStart w:id="26" w:name="_Toc6211_WPSOffice_Level2"/>
      <w:bookmarkStart w:id="27" w:name="_Toc32695_WPSOffice_Level2"/>
      <w:bookmarkStart w:id="28" w:name="_Toc32472_WPSOffice_Level2"/>
      <w:bookmarkStart w:id="29" w:name="_Toc4029_WPSOffice_Level2"/>
    </w:p>
    <w:p>
      <w:pPr>
        <w:pStyle w:val="10"/>
        <w:kinsoku w:val="0"/>
        <w:topLinePunct/>
        <w:spacing w:beforeAutospacing="0" w:afterAutospacing="0"/>
        <w:ind w:firstLine="525"/>
        <w:rPr>
          <w:rFonts w:ascii="Times New Roman" w:hAnsi="Times New Roman" w:eastAsia="仿宋_GB2312"/>
          <w:sz w:val="32"/>
          <w:szCs w:val="32"/>
        </w:rPr>
      </w:pPr>
    </w:p>
    <w:p>
      <w:pPr>
        <w:pStyle w:val="10"/>
        <w:kinsoku w:val="0"/>
        <w:topLinePunct/>
        <w:spacing w:beforeAutospacing="0" w:afterAutospacing="0"/>
        <w:ind w:firstLine="525"/>
        <w:rPr>
          <w:rFonts w:ascii="Times New Roman" w:hAnsi="Times New Roman" w:eastAsia="仿宋_GB2312"/>
          <w:sz w:val="32"/>
          <w:szCs w:val="32"/>
        </w:rPr>
      </w:pPr>
    </w:p>
    <w:p>
      <w:pPr>
        <w:pStyle w:val="10"/>
        <w:kinsoku w:val="0"/>
        <w:topLinePunct/>
        <w:spacing w:beforeAutospacing="0" w:afterAutospacing="0"/>
        <w:ind w:firstLine="525"/>
        <w:rPr>
          <w:rFonts w:ascii="Times New Roman" w:hAnsi="Times New Roman" w:eastAsia="仿宋_GB2312"/>
          <w:sz w:val="32"/>
          <w:szCs w:val="32"/>
        </w:rPr>
      </w:pPr>
    </w:p>
    <w:p>
      <w:pPr>
        <w:pStyle w:val="10"/>
        <w:kinsoku w:val="0"/>
        <w:topLinePunct/>
        <w:spacing w:beforeAutospacing="0" w:afterAutospacing="0"/>
        <w:ind w:firstLine="525"/>
        <w:rPr>
          <w:rFonts w:ascii="Times New Roman" w:hAnsi="Times New Roman" w:eastAsia="仿宋_GB2312"/>
          <w:sz w:val="32"/>
          <w:szCs w:val="32"/>
        </w:rPr>
      </w:pPr>
    </w:p>
    <w:p>
      <w:pPr>
        <w:kinsoku w:val="0"/>
        <w:topLinePunct/>
        <w:jc w:val="center"/>
        <w:rPr>
          <w:rFonts w:ascii="黑体" w:hAnsi="ˎ̥" w:eastAsia="黑体"/>
          <w:szCs w:val="32"/>
        </w:rPr>
      </w:pPr>
      <w:r>
        <w:rPr>
          <w:rFonts w:hint="eastAsia" w:ascii="黑体" w:hAnsi="ˎ̥" w:eastAsia="黑体"/>
          <w:szCs w:val="32"/>
        </w:rPr>
        <w:t>第二部分  2025年度部门决算公开报表</w:t>
      </w:r>
      <w:bookmarkEnd w:id="18"/>
      <w:bookmarkEnd w:id="19"/>
      <w:bookmarkEnd w:id="20"/>
      <w:bookmarkEnd w:id="21"/>
      <w:bookmarkEnd w:id="22"/>
      <w:bookmarkEnd w:id="23"/>
    </w:p>
    <w:p>
      <w:pPr>
        <w:kinsoku w:val="0"/>
        <w:topLinePunct/>
        <w:ind w:firstLine="645"/>
        <w:rPr>
          <w:rFonts w:ascii="黑体" w:hAnsi="黑体" w:eastAsia="黑体" w:cs="黑体"/>
          <w:szCs w:val="32"/>
        </w:rPr>
      </w:pPr>
      <w:r>
        <w:rPr>
          <w:rFonts w:hint="eastAsia" w:ascii="黑体" w:hAnsi="黑体" w:eastAsia="黑体" w:cs="黑体"/>
          <w:szCs w:val="32"/>
        </w:rPr>
        <w:t>一、收入支出决算公开表</w:t>
      </w:r>
      <w:bookmarkEnd w:id="24"/>
      <w:bookmarkEnd w:id="25"/>
      <w:bookmarkEnd w:id="26"/>
      <w:bookmarkEnd w:id="27"/>
      <w:bookmarkEnd w:id="28"/>
      <w:bookmarkEnd w:id="29"/>
    </w:p>
    <w:p>
      <w:pPr>
        <w:kinsoku w:val="0"/>
        <w:topLinePunct/>
        <w:ind w:firstLine="645"/>
        <w:rPr>
          <w:rFonts w:ascii="黑体" w:hAnsi="黑体" w:eastAsia="黑体" w:cs="黑体"/>
          <w:szCs w:val="32"/>
        </w:rPr>
      </w:pPr>
      <w:bookmarkStart w:id="30" w:name="_Toc23139_WPSOffice_Level2"/>
      <w:bookmarkStart w:id="31" w:name="_Toc25608_WPSOffice_Level2"/>
      <w:bookmarkStart w:id="32" w:name="_Toc28622_WPSOffice_Level2"/>
      <w:bookmarkStart w:id="33" w:name="_Toc26621_WPSOffice_Level2"/>
      <w:bookmarkStart w:id="34" w:name="_Toc14349_WPSOffice_Level2"/>
      <w:bookmarkStart w:id="35" w:name="_Toc30334_WPSOffice_Level2"/>
      <w:r>
        <w:rPr>
          <w:rFonts w:hint="eastAsia" w:ascii="黑体" w:hAnsi="黑体" w:eastAsia="黑体" w:cs="黑体"/>
          <w:szCs w:val="32"/>
        </w:rPr>
        <w:t>二、收入决算公开表</w:t>
      </w:r>
      <w:bookmarkEnd w:id="30"/>
      <w:bookmarkEnd w:id="31"/>
      <w:bookmarkEnd w:id="32"/>
      <w:bookmarkEnd w:id="33"/>
      <w:bookmarkEnd w:id="34"/>
      <w:bookmarkEnd w:id="35"/>
      <w:bookmarkStart w:id="36" w:name="_Toc3262_WPSOffice_Level2"/>
      <w:bookmarkStart w:id="37" w:name="_Toc17626_WPSOffice_Level2"/>
      <w:bookmarkStart w:id="38" w:name="_Toc13854_WPSOffice_Level2"/>
      <w:bookmarkStart w:id="39" w:name="_Toc14658_WPSOffice_Level2"/>
      <w:bookmarkStart w:id="40" w:name="_Toc17858_WPSOffice_Level2"/>
      <w:bookmarkStart w:id="41" w:name="_Toc5489_WPSOffice_Level2"/>
    </w:p>
    <w:p>
      <w:pPr>
        <w:kinsoku w:val="0"/>
        <w:topLinePunct/>
        <w:ind w:firstLine="645"/>
        <w:rPr>
          <w:rFonts w:ascii="黑体" w:hAnsi="黑体" w:eastAsia="黑体" w:cs="黑体"/>
          <w:szCs w:val="32"/>
        </w:rPr>
      </w:pPr>
      <w:r>
        <w:rPr>
          <w:rFonts w:hint="eastAsia" w:ascii="黑体" w:hAnsi="黑体" w:eastAsia="黑体" w:cs="黑体"/>
          <w:szCs w:val="32"/>
        </w:rPr>
        <w:t>三、支出决算公开表</w:t>
      </w:r>
      <w:bookmarkEnd w:id="36"/>
      <w:bookmarkEnd w:id="37"/>
      <w:bookmarkEnd w:id="38"/>
      <w:bookmarkEnd w:id="39"/>
      <w:bookmarkEnd w:id="40"/>
      <w:bookmarkEnd w:id="41"/>
      <w:bookmarkStart w:id="42" w:name="_Toc23591_WPSOffice_Level2"/>
      <w:bookmarkStart w:id="43" w:name="_Toc7988_WPSOffice_Level2"/>
      <w:bookmarkStart w:id="44" w:name="_Toc4265_WPSOffice_Level2"/>
      <w:bookmarkStart w:id="45" w:name="_Toc21415_WPSOffice_Level2"/>
      <w:bookmarkStart w:id="46" w:name="_Toc13701_WPSOffice_Level2"/>
      <w:bookmarkStart w:id="47" w:name="_Toc23493_WPSOffice_Level2"/>
    </w:p>
    <w:p>
      <w:pPr>
        <w:kinsoku w:val="0"/>
        <w:topLinePunct/>
        <w:ind w:firstLine="645"/>
        <w:rPr>
          <w:rFonts w:ascii="黑体" w:hAnsi="黑体" w:eastAsia="黑体" w:cs="黑体"/>
          <w:szCs w:val="32"/>
        </w:rPr>
      </w:pPr>
      <w:r>
        <w:rPr>
          <w:rFonts w:hint="eastAsia" w:ascii="黑体" w:hAnsi="黑体" w:eastAsia="黑体" w:cs="黑体"/>
          <w:szCs w:val="32"/>
        </w:rPr>
        <w:t>四、财政拨款收入支出决算公开表</w:t>
      </w:r>
      <w:bookmarkEnd w:id="42"/>
      <w:bookmarkEnd w:id="43"/>
      <w:bookmarkEnd w:id="44"/>
      <w:bookmarkEnd w:id="45"/>
      <w:bookmarkEnd w:id="46"/>
      <w:bookmarkEnd w:id="47"/>
    </w:p>
    <w:p>
      <w:pPr>
        <w:kinsoku w:val="0"/>
        <w:topLinePunct/>
        <w:ind w:firstLine="645"/>
        <w:rPr>
          <w:rFonts w:ascii="黑体" w:hAnsi="黑体" w:eastAsia="黑体" w:cs="黑体"/>
          <w:szCs w:val="32"/>
        </w:rPr>
      </w:pPr>
      <w:bookmarkStart w:id="48" w:name="_Toc7879_WPSOffice_Level2"/>
      <w:bookmarkStart w:id="49" w:name="_Toc23829_WPSOffice_Level2"/>
      <w:bookmarkStart w:id="50" w:name="_Toc25166_WPSOffice_Level2"/>
      <w:bookmarkStart w:id="51" w:name="_Toc22783_WPSOffice_Level2"/>
      <w:bookmarkStart w:id="52" w:name="_Toc2158_WPSOffice_Level2"/>
      <w:bookmarkStart w:id="53" w:name="_Toc13516_WPSOffice_Level2"/>
      <w:r>
        <w:rPr>
          <w:rFonts w:hint="eastAsia" w:ascii="黑体" w:hAnsi="黑体" w:eastAsia="黑体" w:cs="黑体"/>
          <w:szCs w:val="32"/>
        </w:rPr>
        <w:t>五、一般公共预算财政拨款收入支出决算</w:t>
      </w:r>
      <w:bookmarkEnd w:id="48"/>
      <w:bookmarkEnd w:id="49"/>
      <w:bookmarkEnd w:id="50"/>
      <w:bookmarkEnd w:id="51"/>
      <w:r>
        <w:rPr>
          <w:rFonts w:hint="eastAsia" w:ascii="黑体" w:hAnsi="黑体" w:eastAsia="黑体" w:cs="黑体"/>
          <w:szCs w:val="32"/>
        </w:rPr>
        <w:t>公开表</w:t>
      </w:r>
      <w:bookmarkEnd w:id="52"/>
      <w:bookmarkEnd w:id="53"/>
      <w:bookmarkStart w:id="54" w:name="_Toc5343_WPSOffice_Level2"/>
      <w:bookmarkStart w:id="55" w:name="_Toc25362_WPSOffice_Level2"/>
      <w:bookmarkStart w:id="56" w:name="_Toc17833_WPSOffice_Level2"/>
      <w:bookmarkStart w:id="57" w:name="_Toc17283_WPSOffice_Level2"/>
      <w:bookmarkStart w:id="58" w:name="_Toc8373_WPSOffice_Level2"/>
      <w:bookmarkStart w:id="59" w:name="_Toc2632_WPSOffice_Level2"/>
    </w:p>
    <w:p>
      <w:pPr>
        <w:kinsoku w:val="0"/>
        <w:topLinePunct/>
        <w:ind w:firstLine="645"/>
        <w:rPr>
          <w:rFonts w:ascii="黑体" w:hAnsi="黑体" w:eastAsia="黑体" w:cs="黑体"/>
          <w:szCs w:val="32"/>
        </w:rPr>
      </w:pPr>
      <w:r>
        <w:rPr>
          <w:rFonts w:hint="eastAsia" w:ascii="黑体" w:hAnsi="黑体" w:eastAsia="黑体" w:cs="黑体"/>
          <w:szCs w:val="32"/>
        </w:rPr>
        <w:t>六、一般公共预算财政拨款基本支出决算</w:t>
      </w:r>
      <w:bookmarkEnd w:id="54"/>
      <w:bookmarkEnd w:id="55"/>
      <w:bookmarkEnd w:id="56"/>
      <w:bookmarkEnd w:id="57"/>
      <w:bookmarkEnd w:id="58"/>
      <w:bookmarkEnd w:id="59"/>
      <w:r>
        <w:rPr>
          <w:rFonts w:hint="eastAsia" w:ascii="黑体" w:hAnsi="黑体" w:eastAsia="黑体" w:cs="黑体"/>
          <w:szCs w:val="32"/>
        </w:rPr>
        <w:t>公开表</w:t>
      </w:r>
    </w:p>
    <w:p>
      <w:pPr>
        <w:kinsoku w:val="0"/>
        <w:topLinePunct/>
        <w:ind w:firstLine="640" w:firstLineChars="200"/>
        <w:rPr>
          <w:rFonts w:ascii="黑体" w:hAnsi="黑体" w:eastAsia="黑体" w:cs="黑体"/>
          <w:szCs w:val="32"/>
        </w:rPr>
      </w:pPr>
      <w:bookmarkStart w:id="60" w:name="_Toc21310_WPSOffice_Level2"/>
      <w:bookmarkStart w:id="61" w:name="_Toc5594_WPSOffice_Level2"/>
      <w:bookmarkStart w:id="62" w:name="_Toc6020_WPSOffice_Level2"/>
      <w:bookmarkStart w:id="63" w:name="_Toc13345_WPSOffice_Level2"/>
      <w:bookmarkStart w:id="64" w:name="_Toc1533_WPSOffice_Level2"/>
      <w:bookmarkStart w:id="65" w:name="_Toc11799_WPSOffice_Level2"/>
      <w:r>
        <w:rPr>
          <w:rFonts w:hint="eastAsia" w:ascii="黑体" w:hAnsi="黑体" w:eastAsia="黑体" w:cs="黑体"/>
          <w:szCs w:val="32"/>
        </w:rPr>
        <w:t>七、政府性基金预算财政拨款收入支出决算</w:t>
      </w:r>
      <w:bookmarkEnd w:id="60"/>
      <w:bookmarkEnd w:id="61"/>
      <w:bookmarkEnd w:id="62"/>
      <w:bookmarkEnd w:id="63"/>
      <w:bookmarkEnd w:id="64"/>
      <w:bookmarkEnd w:id="65"/>
      <w:r>
        <w:rPr>
          <w:rFonts w:hint="eastAsia" w:ascii="黑体" w:hAnsi="黑体" w:eastAsia="黑体" w:cs="黑体"/>
          <w:szCs w:val="32"/>
        </w:rPr>
        <w:t>公开表</w:t>
      </w:r>
    </w:p>
    <w:p>
      <w:pPr>
        <w:kinsoku w:val="0"/>
        <w:topLinePunct/>
        <w:ind w:firstLine="640" w:firstLineChars="200"/>
        <w:rPr>
          <w:rFonts w:ascii="黑体" w:hAnsi="黑体" w:eastAsia="黑体" w:cs="黑体"/>
          <w:szCs w:val="32"/>
        </w:rPr>
      </w:pPr>
      <w:bookmarkStart w:id="106" w:name="_GoBack"/>
      <w:bookmarkEnd w:id="106"/>
      <w:r>
        <w:rPr>
          <w:rFonts w:hint="eastAsia" w:ascii="黑体" w:hAnsi="黑体" w:eastAsia="黑体" w:cs="黑体"/>
          <w:szCs w:val="32"/>
        </w:rPr>
        <w:t>八、国有资本经营预算财政拨款收入支出决算公开表</w:t>
      </w:r>
    </w:p>
    <w:p>
      <w:pPr>
        <w:kinsoku w:val="0"/>
        <w:topLinePunct/>
        <w:ind w:firstLine="640"/>
        <w:rPr>
          <w:rFonts w:ascii="黑体" w:hAnsi="黑体" w:eastAsia="黑体" w:cs="黑体"/>
          <w:szCs w:val="32"/>
        </w:rPr>
      </w:pPr>
      <w:bookmarkStart w:id="66" w:name="_Toc29886_WPSOffice_Level2"/>
      <w:bookmarkStart w:id="67" w:name="_Toc1820_WPSOffice_Level2"/>
      <w:bookmarkStart w:id="68" w:name="_Toc9377_WPSOffice_Level2"/>
      <w:bookmarkStart w:id="69" w:name="_Toc19961_WPSOffice_Level2"/>
      <w:r>
        <w:rPr>
          <w:rFonts w:hint="eastAsia" w:ascii="黑体" w:hAnsi="黑体" w:eastAsia="黑体" w:cs="黑体"/>
          <w:szCs w:val="32"/>
        </w:rPr>
        <w:t>九、财政拨款“三公”经费支出决算</w:t>
      </w:r>
      <w:bookmarkEnd w:id="66"/>
      <w:bookmarkEnd w:id="67"/>
      <w:bookmarkEnd w:id="68"/>
      <w:bookmarkEnd w:id="69"/>
      <w:r>
        <w:rPr>
          <w:rFonts w:hint="eastAsia" w:ascii="黑体" w:hAnsi="黑体" w:eastAsia="黑体" w:cs="黑体"/>
          <w:szCs w:val="32"/>
        </w:rPr>
        <w:t>公开表</w:t>
      </w:r>
    </w:p>
    <w:p>
      <w:pPr>
        <w:kinsoku w:val="0"/>
        <w:topLinePunct/>
        <w:ind w:firstLine="640"/>
        <w:rPr>
          <w:rFonts w:ascii="黑体" w:hAnsi="黑体" w:eastAsia="黑体" w:cs="黑体"/>
          <w:szCs w:val="32"/>
        </w:rPr>
      </w:pPr>
      <w:r>
        <w:rPr>
          <w:rFonts w:hint="eastAsia" w:ascii="黑体" w:hAnsi="黑体" w:eastAsia="黑体" w:cs="黑体"/>
          <w:w w:val="96"/>
          <w:szCs w:val="32"/>
        </w:rPr>
        <w:t xml:space="preserve">以上报表见附件1。   </w:t>
      </w:r>
    </w:p>
    <w:p>
      <w:pPr>
        <w:kinsoku w:val="0"/>
        <w:topLinePunct/>
        <w:jc w:val="center"/>
        <w:rPr>
          <w:rFonts w:hint="eastAsia" w:ascii="黑体" w:hAnsi="ˎ̥" w:eastAsia="黑体"/>
          <w:szCs w:val="32"/>
        </w:rPr>
      </w:pPr>
      <w:bookmarkStart w:id="70" w:name="_Toc4402_WPSOffice_Level1"/>
      <w:bookmarkStart w:id="71" w:name="_Toc16686_WPSOffice_Level1"/>
      <w:bookmarkStart w:id="72" w:name="_Toc29683_WPSOffice_Level1"/>
      <w:bookmarkStart w:id="73" w:name="_Toc27590_WPSOffice_Level1"/>
      <w:bookmarkStart w:id="74" w:name="_Toc31264_WPSOffice_Level1"/>
      <w:bookmarkStart w:id="75" w:name="_Toc28629_WPSOffice_Level1"/>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ascii="黑体" w:hAnsi="ˎ̥" w:eastAsia="黑体"/>
          <w:szCs w:val="32"/>
        </w:rPr>
      </w:pPr>
      <w:r>
        <w:rPr>
          <w:rFonts w:hint="eastAsia" w:ascii="黑体" w:hAnsi="ˎ̥" w:eastAsia="黑体"/>
          <w:szCs w:val="32"/>
        </w:rPr>
        <w:t>第三部分  2024年度部门决算情况说明</w:t>
      </w:r>
      <w:bookmarkEnd w:id="70"/>
      <w:bookmarkEnd w:id="71"/>
      <w:bookmarkEnd w:id="72"/>
      <w:bookmarkEnd w:id="73"/>
      <w:bookmarkEnd w:id="74"/>
      <w:bookmarkEnd w:id="75"/>
    </w:p>
    <w:p>
      <w:pPr>
        <w:kinsoku w:val="0"/>
        <w:topLinePunct/>
        <w:ind w:firstLine="640" w:firstLineChars="200"/>
        <w:rPr>
          <w:rFonts w:ascii="仿宋_GB2312" w:hAnsi="ˎ̥" w:eastAsia="仿宋_GB2312"/>
          <w:szCs w:val="32"/>
        </w:rPr>
      </w:pPr>
      <w:r>
        <w:rPr>
          <w:rFonts w:hint="eastAsia" w:ascii="黑体" w:hAnsi="黑体" w:eastAsia="黑体" w:cs="黑体"/>
          <w:bCs/>
          <w:szCs w:val="32"/>
        </w:rPr>
        <w:t>一、收入支出总体情况说明</w:t>
      </w:r>
      <w:r>
        <w:rPr>
          <w:rFonts w:hint="eastAsia" w:ascii="黑体" w:hAnsi="黑体" w:eastAsia="黑体" w:cs="黑体"/>
          <w:bCs/>
          <w:szCs w:val="32"/>
        </w:rPr>
        <w:br w:type="textWrapping"/>
      </w:r>
      <w:r>
        <w:rPr>
          <w:rFonts w:hint="eastAsia" w:ascii="仿宋_GB2312" w:hAnsi="ˎ̥" w:eastAsia="仿宋_GB2312"/>
          <w:szCs w:val="32"/>
        </w:rPr>
        <w:t>2025年度收入总计1722.52万元，支出总计</w:t>
      </w:r>
      <w:r>
        <w:rPr>
          <w:rFonts w:ascii="仿宋_GB2312" w:hAnsi="ˎ̥" w:eastAsia="仿宋_GB2312"/>
          <w:szCs w:val="32"/>
        </w:rPr>
        <w:t>1,0</w:t>
      </w:r>
      <w:r>
        <w:rPr>
          <w:rFonts w:hint="eastAsia" w:ascii="仿宋_GB2312" w:hAnsi="ˎ̥" w:eastAsia="仿宋_GB2312"/>
          <w:szCs w:val="32"/>
        </w:rPr>
        <w:t>99</w:t>
      </w:r>
      <w:r>
        <w:rPr>
          <w:rFonts w:ascii="仿宋_GB2312" w:hAnsi="ˎ̥" w:eastAsia="仿宋_GB2312"/>
          <w:szCs w:val="32"/>
        </w:rPr>
        <w:t>.</w:t>
      </w:r>
      <w:r>
        <w:rPr>
          <w:rFonts w:hint="eastAsia" w:ascii="仿宋_GB2312" w:hAnsi="ˎ̥" w:eastAsia="仿宋_GB2312"/>
          <w:szCs w:val="32"/>
        </w:rPr>
        <w:t>72万元，与2023年度相比，收入、支出总计各增加622.8万元，增长（下降）98.24%。主要原因：一是积分超市经费多了4000万元。</w:t>
      </w:r>
    </w:p>
    <w:p>
      <w:pPr>
        <w:kinsoku w:val="0"/>
        <w:topLinePunct/>
        <w:ind w:firstLine="640" w:firstLineChars="200"/>
        <w:rPr>
          <w:rFonts w:ascii="楷体" w:hAnsi="楷体" w:eastAsia="楷体" w:cs="楷体"/>
          <w:szCs w:val="32"/>
        </w:rPr>
      </w:pPr>
      <w:r>
        <w:rPr>
          <w:rFonts w:hint="eastAsia" w:ascii="楷体" w:hAnsi="楷体" w:eastAsia="楷体" w:cs="楷体"/>
          <w:szCs w:val="32"/>
        </w:rPr>
        <w:t>（一</w:t>
      </w:r>
      <w:r>
        <w:rPr>
          <w:rFonts w:ascii="楷体" w:hAnsi="楷体" w:eastAsia="楷体" w:cs="楷体"/>
          <w:szCs w:val="32"/>
        </w:rPr>
        <w:t>）</w:t>
      </w:r>
      <w:r>
        <w:rPr>
          <w:rFonts w:hint="eastAsia" w:ascii="楷体" w:hAnsi="楷体" w:eastAsia="楷体" w:cs="楷体"/>
          <w:szCs w:val="32"/>
        </w:rPr>
        <w:t>收入</w:t>
      </w:r>
      <w:r>
        <w:rPr>
          <w:rFonts w:ascii="楷体" w:hAnsi="楷体" w:eastAsia="楷体" w:cs="楷体"/>
          <w:szCs w:val="32"/>
        </w:rPr>
        <w:t>总计</w:t>
      </w:r>
      <w:r>
        <w:rPr>
          <w:rFonts w:hint="eastAsia" w:ascii="楷体" w:hAnsi="楷体" w:eastAsia="楷体" w:cs="楷体"/>
          <w:szCs w:val="32"/>
        </w:rPr>
        <w:t>主要</w:t>
      </w:r>
      <w:r>
        <w:rPr>
          <w:rFonts w:ascii="楷体" w:hAnsi="楷体" w:eastAsia="楷体" w:cs="楷体"/>
          <w:szCs w:val="32"/>
        </w:rPr>
        <w:t>构成</w:t>
      </w:r>
      <w:r>
        <w:rPr>
          <w:rFonts w:hint="eastAsia" w:ascii="楷体" w:hAnsi="楷体" w:eastAsia="楷体" w:cs="楷体"/>
          <w:szCs w:val="32"/>
        </w:rPr>
        <w:t>。</w:t>
      </w:r>
    </w:p>
    <w:p>
      <w:pPr>
        <w:kinsoku w:val="0"/>
        <w:topLinePunct/>
        <w:ind w:firstLine="640" w:firstLineChars="200"/>
        <w:rPr>
          <w:rFonts w:ascii="仿宋_GB2312" w:hAnsi="ˎ̥" w:eastAsia="仿宋_GB2312"/>
          <w:szCs w:val="32"/>
        </w:rPr>
      </w:pPr>
      <w:r>
        <w:rPr>
          <w:rFonts w:hint="eastAsia" w:ascii="仿宋_GB2312" w:hAnsi="ˎ̥" w:eastAsia="仿宋_GB2312"/>
          <w:szCs w:val="32"/>
        </w:rPr>
        <w:t>本年</w:t>
      </w:r>
      <w:r>
        <w:rPr>
          <w:rFonts w:ascii="仿宋_GB2312" w:hAnsi="ˎ̥" w:eastAsia="仿宋_GB2312"/>
          <w:szCs w:val="32"/>
        </w:rPr>
        <w:t>收入</w:t>
      </w:r>
      <w:r>
        <w:rPr>
          <w:rFonts w:hint="eastAsia" w:ascii="仿宋_GB2312" w:hAnsi="ˎ̥" w:eastAsia="仿宋_GB2312"/>
          <w:szCs w:val="32"/>
        </w:rPr>
        <w:t>1722.52万元。</w:t>
      </w:r>
    </w:p>
    <w:p>
      <w:pPr>
        <w:kinsoku w:val="0"/>
        <w:topLinePunct/>
        <w:ind w:firstLine="640" w:firstLineChars="200"/>
        <w:rPr>
          <w:rFonts w:ascii="仿宋_GB2312" w:hAnsi="ˎ̥" w:eastAsia="仿宋_GB2312"/>
          <w:szCs w:val="32"/>
        </w:rPr>
      </w:pPr>
      <w:r>
        <w:rPr>
          <w:rFonts w:hint="eastAsia" w:ascii="仿宋_GB2312" w:hAnsi="ˎ̥" w:eastAsia="仿宋_GB2312"/>
          <w:szCs w:val="32"/>
        </w:rPr>
        <w:t>使用非财政拨款结余</w:t>
      </w:r>
      <w:r>
        <w:rPr>
          <w:rFonts w:ascii="仿宋_GB2312" w:hAnsi="ˎ̥" w:eastAsia="仿宋_GB2312"/>
          <w:szCs w:val="32"/>
        </w:rPr>
        <w:t>0.00</w:t>
      </w:r>
      <w:r>
        <w:rPr>
          <w:rFonts w:hint="eastAsia" w:ascii="仿宋_GB2312" w:hAnsi="ˎ̥" w:eastAsia="仿宋_GB2312"/>
          <w:szCs w:val="32"/>
        </w:rPr>
        <w:t>万元，较2024年度决算数增加（减少）0万元，主要原因是……。</w:t>
      </w:r>
    </w:p>
    <w:p>
      <w:pPr>
        <w:kinsoku w:val="0"/>
        <w:topLinePunct/>
        <w:ind w:firstLine="640" w:firstLineChars="200"/>
        <w:rPr>
          <w:rFonts w:ascii="仿宋_GB2312" w:hAnsi="ˎ̥" w:eastAsia="仿宋_GB2312"/>
          <w:szCs w:val="32"/>
        </w:rPr>
      </w:pPr>
      <w:r>
        <w:rPr>
          <w:rFonts w:hint="eastAsia" w:ascii="仿宋_GB2312" w:hAnsi="ˎ̥" w:eastAsia="仿宋_GB2312"/>
          <w:szCs w:val="32"/>
        </w:rPr>
        <w:t>年初结转结余0万元，主要是……（简要说明结转结余形成或来源），较2024年度决算数增加（减少）0万元，增长（下降）0%，主要原因是……。</w:t>
      </w:r>
    </w:p>
    <w:p>
      <w:pPr>
        <w:kinsoku w:val="0"/>
        <w:topLinePunct/>
        <w:ind w:firstLine="640" w:firstLineChars="200"/>
        <w:rPr>
          <w:rFonts w:ascii="楷体" w:hAnsi="楷体" w:eastAsia="楷体" w:cs="楷体"/>
          <w:szCs w:val="32"/>
        </w:rPr>
      </w:pPr>
      <w:r>
        <w:rPr>
          <w:rFonts w:hint="eastAsia" w:ascii="楷体" w:hAnsi="楷体" w:eastAsia="楷体" w:cs="楷体"/>
          <w:szCs w:val="32"/>
        </w:rPr>
        <w:t>（二</w:t>
      </w:r>
      <w:r>
        <w:rPr>
          <w:rFonts w:ascii="楷体" w:hAnsi="楷体" w:eastAsia="楷体" w:cs="楷体"/>
          <w:szCs w:val="32"/>
        </w:rPr>
        <w:t>）</w:t>
      </w:r>
      <w:r>
        <w:rPr>
          <w:rFonts w:hint="eastAsia" w:ascii="楷体" w:hAnsi="楷体" w:eastAsia="楷体" w:cs="楷体"/>
          <w:szCs w:val="32"/>
        </w:rPr>
        <w:t>支出</w:t>
      </w:r>
      <w:r>
        <w:rPr>
          <w:rFonts w:ascii="楷体" w:hAnsi="楷体" w:eastAsia="楷体" w:cs="楷体"/>
          <w:szCs w:val="32"/>
        </w:rPr>
        <w:t>总计</w:t>
      </w:r>
      <w:r>
        <w:rPr>
          <w:rFonts w:hint="eastAsia" w:ascii="楷体" w:hAnsi="楷体" w:eastAsia="楷体" w:cs="楷体"/>
          <w:szCs w:val="32"/>
        </w:rPr>
        <w:t>主要</w:t>
      </w:r>
      <w:r>
        <w:rPr>
          <w:rFonts w:ascii="楷体" w:hAnsi="楷体" w:eastAsia="楷体" w:cs="楷体"/>
          <w:szCs w:val="32"/>
        </w:rPr>
        <w:t>构成</w:t>
      </w:r>
      <w:r>
        <w:rPr>
          <w:rFonts w:hint="eastAsia" w:ascii="楷体" w:hAnsi="楷体" w:eastAsia="楷体" w:cs="楷体"/>
          <w:szCs w:val="32"/>
        </w:rPr>
        <w:t>。</w:t>
      </w:r>
    </w:p>
    <w:p>
      <w:pPr>
        <w:kinsoku w:val="0"/>
        <w:topLinePunct/>
        <w:ind w:firstLine="640" w:firstLineChars="200"/>
        <w:rPr>
          <w:rFonts w:ascii="仿宋_GB2312" w:hAnsi="ˎ̥" w:eastAsia="仿宋_GB2312"/>
          <w:szCs w:val="32"/>
        </w:rPr>
      </w:pPr>
      <w:r>
        <w:rPr>
          <w:rFonts w:hint="eastAsia" w:ascii="仿宋_GB2312" w:hAnsi="ˎ̥" w:eastAsia="仿宋_GB2312"/>
          <w:szCs w:val="32"/>
        </w:rPr>
        <w:t>本年支出1722.52万元。</w:t>
      </w:r>
    </w:p>
    <w:p>
      <w:pPr>
        <w:kinsoku w:val="0"/>
        <w:topLinePunct/>
        <w:ind w:firstLine="640" w:firstLineChars="200"/>
        <w:rPr>
          <w:rFonts w:ascii="仿宋_GB2312" w:hAnsi="ˎ̥" w:eastAsia="仿宋_GB2312"/>
          <w:szCs w:val="32"/>
        </w:rPr>
      </w:pPr>
      <w:r>
        <w:rPr>
          <w:rFonts w:hint="eastAsia" w:ascii="仿宋_GB2312" w:hAnsi="ˎ̥" w:eastAsia="仿宋_GB2312"/>
          <w:szCs w:val="32"/>
        </w:rPr>
        <w:t>结余分配</w:t>
      </w:r>
      <w:r>
        <w:rPr>
          <w:rFonts w:ascii="仿宋_GB2312" w:hAnsi="ˎ̥" w:eastAsia="仿宋_GB2312"/>
          <w:szCs w:val="32"/>
        </w:rPr>
        <w:t>0.00</w:t>
      </w:r>
      <w:r>
        <w:rPr>
          <w:rFonts w:hint="eastAsia" w:ascii="仿宋_GB2312" w:hAnsi="ˎ̥" w:eastAsia="仿宋_GB2312"/>
          <w:szCs w:val="32"/>
        </w:rPr>
        <w:t>万元。</w:t>
      </w:r>
    </w:p>
    <w:p>
      <w:pPr>
        <w:kinsoku w:val="0"/>
        <w:topLinePunct/>
        <w:ind w:firstLine="640" w:firstLineChars="200"/>
        <w:rPr>
          <w:rFonts w:ascii="仿宋_GB2312" w:hAnsi="ˎ̥" w:eastAsia="仿宋_GB2312"/>
          <w:szCs w:val="32"/>
        </w:rPr>
      </w:pPr>
      <w:r>
        <w:rPr>
          <w:rFonts w:hint="eastAsia" w:ascii="仿宋_GB2312" w:hAnsi="ˎ̥" w:eastAsia="仿宋_GB2312"/>
          <w:szCs w:val="32"/>
        </w:rPr>
        <w:t>年末结转结余</w:t>
      </w:r>
      <w:r>
        <w:rPr>
          <w:rFonts w:ascii="仿宋_GB2312" w:hAnsi="ˎ̥" w:eastAsia="仿宋_GB2312"/>
          <w:szCs w:val="32"/>
        </w:rPr>
        <w:t>0.00</w:t>
      </w:r>
      <w:r>
        <w:rPr>
          <w:rFonts w:hint="eastAsia" w:ascii="仿宋_GB2312" w:hAnsi="ˎ̥" w:eastAsia="仿宋_GB2312"/>
          <w:szCs w:val="32"/>
        </w:rPr>
        <w:t>万元。</w:t>
      </w:r>
    </w:p>
    <w:p>
      <w:pPr>
        <w:kinsoku w:val="0"/>
        <w:topLinePunct/>
        <w:ind w:firstLine="640" w:firstLineChars="200"/>
        <w:rPr>
          <w:rFonts w:ascii="仿宋_GB2312" w:hAnsi="ˎ̥" w:eastAsia="仿宋_GB2312"/>
          <w:szCs w:val="32"/>
        </w:rPr>
      </w:pPr>
      <w:r>
        <w:rPr>
          <w:rFonts w:hint="eastAsia" w:ascii="黑体" w:hAnsi="黑体" w:eastAsia="黑体" w:cs="黑体"/>
          <w:bCs/>
          <w:szCs w:val="32"/>
        </w:rPr>
        <w:t>二、收入决算情况说明</w:t>
      </w:r>
      <w:r>
        <w:rPr>
          <w:rFonts w:hint="eastAsia" w:ascii="黑体" w:hAnsi="黑体" w:eastAsia="黑体" w:cs="黑体"/>
          <w:bCs/>
          <w:szCs w:val="32"/>
        </w:rPr>
        <w:br w:type="textWrapping"/>
      </w:r>
      <w:r>
        <w:rPr>
          <w:rFonts w:hint="eastAsia" w:ascii="仿宋_GB2312" w:hAnsi="ˎ̥" w:eastAsia="仿宋_GB2312"/>
          <w:szCs w:val="32"/>
        </w:rPr>
        <w:t xml:space="preserve">    本年收入1722.52万元，其中：财政拨款收入427.29万元，占98.24%；上级补助收入</w:t>
      </w:r>
      <w:r>
        <w:rPr>
          <w:rFonts w:ascii="仿宋_GB2312" w:hAnsi="ˎ̥" w:eastAsia="仿宋_GB2312"/>
          <w:szCs w:val="32"/>
        </w:rPr>
        <w:t>0.00</w:t>
      </w:r>
      <w:r>
        <w:rPr>
          <w:rFonts w:hint="eastAsia" w:ascii="仿宋_GB2312" w:hAnsi="ˎ̥" w:eastAsia="仿宋_GB2312"/>
          <w:szCs w:val="32"/>
        </w:rPr>
        <w:t>万元，占0.00%；事业收入</w:t>
      </w:r>
      <w:r>
        <w:rPr>
          <w:rFonts w:ascii="仿宋_GB2312" w:hAnsi="ˎ̥" w:eastAsia="仿宋_GB2312"/>
          <w:szCs w:val="32"/>
        </w:rPr>
        <w:t>0.00</w:t>
      </w:r>
      <w:r>
        <w:rPr>
          <w:rFonts w:hint="eastAsia" w:ascii="仿宋_GB2312" w:hAnsi="ˎ̥" w:eastAsia="仿宋_GB2312"/>
          <w:szCs w:val="32"/>
        </w:rPr>
        <w:t>万元，占0.00%；经营收入</w:t>
      </w:r>
      <w:r>
        <w:rPr>
          <w:rFonts w:ascii="仿宋_GB2312" w:hAnsi="ˎ̥" w:eastAsia="仿宋_GB2312"/>
          <w:szCs w:val="32"/>
        </w:rPr>
        <w:t>0.00</w:t>
      </w:r>
      <w:r>
        <w:rPr>
          <w:rFonts w:hint="eastAsia" w:ascii="仿宋_GB2312" w:hAnsi="ˎ̥" w:eastAsia="仿宋_GB2312"/>
          <w:szCs w:val="32"/>
        </w:rPr>
        <w:t>万元，占0.00%；附属单位上缴收入</w:t>
      </w:r>
      <w:r>
        <w:rPr>
          <w:rFonts w:ascii="仿宋_GB2312" w:hAnsi="ˎ̥" w:eastAsia="仿宋_GB2312"/>
          <w:szCs w:val="32"/>
        </w:rPr>
        <w:t>0.00</w:t>
      </w:r>
      <w:r>
        <w:rPr>
          <w:rFonts w:hint="eastAsia" w:ascii="仿宋_GB2312" w:hAnsi="ˎ̥" w:eastAsia="仿宋_GB2312"/>
          <w:szCs w:val="32"/>
        </w:rPr>
        <w:t>万元，占0.00%；其他收入</w:t>
      </w:r>
      <w:r>
        <w:rPr>
          <w:rFonts w:ascii="仿宋_GB2312" w:hAnsi="ˎ̥" w:eastAsia="仿宋_GB2312"/>
          <w:szCs w:val="32"/>
        </w:rPr>
        <w:t>0.00</w:t>
      </w:r>
      <w:r>
        <w:rPr>
          <w:rFonts w:hint="eastAsia" w:ascii="仿宋_GB2312" w:hAnsi="ˎ̥" w:eastAsia="仿宋_GB2312"/>
          <w:szCs w:val="32"/>
        </w:rPr>
        <w:t>万元，占0.00%。</w:t>
      </w:r>
    </w:p>
    <w:p>
      <w:pPr>
        <w:kinsoku w:val="0"/>
        <w:topLinePunct/>
        <w:ind w:left="627" w:leftChars="196"/>
        <w:rPr>
          <w:rFonts w:ascii="仿宋_GB2312" w:hAnsi="ˎ̥" w:eastAsia="仿宋_GB2312"/>
          <w:szCs w:val="32"/>
        </w:rPr>
      </w:pPr>
      <w:r>
        <w:rPr>
          <w:rFonts w:hint="eastAsia" w:ascii="仿宋_GB2312" w:hAnsi="ˎ̥" w:eastAsia="仿宋_GB2312"/>
          <w:szCs w:val="32"/>
        </w:rPr>
        <w:t xml:space="preserve">  （注</w:t>
      </w:r>
      <w:r>
        <w:rPr>
          <w:rFonts w:ascii="仿宋_GB2312" w:hAnsi="ˎ̥" w:eastAsia="仿宋_GB2312"/>
          <w:szCs w:val="32"/>
        </w:rPr>
        <w:t>：</w:t>
      </w:r>
      <w:r>
        <w:rPr>
          <w:rFonts w:hint="eastAsia" w:ascii="仿宋_GB2312" w:hAnsi="ˎ̥" w:eastAsia="仿宋_GB2312"/>
          <w:szCs w:val="32"/>
        </w:rPr>
        <w:t>上述各项收入数字可取自财决公开02表）</w:t>
      </w:r>
    </w:p>
    <w:p>
      <w:pPr>
        <w:kinsoku w:val="0"/>
        <w:topLinePunct/>
        <w:ind w:firstLine="627" w:firstLineChars="196"/>
        <w:rPr>
          <w:rFonts w:ascii="黑体" w:hAnsi="黑体" w:eastAsia="黑体" w:cs="黑体"/>
          <w:bCs/>
          <w:szCs w:val="32"/>
        </w:rPr>
      </w:pPr>
      <w:r>
        <w:rPr>
          <w:rFonts w:hint="eastAsia" w:ascii="黑体" w:hAnsi="黑体" w:eastAsia="黑体" w:cs="黑体"/>
          <w:bCs/>
          <w:szCs w:val="32"/>
        </w:rPr>
        <w:t>三、支出决算情况说明</w:t>
      </w:r>
    </w:p>
    <w:p>
      <w:pPr>
        <w:kinsoku w:val="0"/>
        <w:topLinePunct/>
        <w:ind w:firstLine="640" w:firstLineChars="200"/>
        <w:rPr>
          <w:rFonts w:ascii="仿宋_GB2312" w:hAnsi="ˎ̥" w:eastAsia="仿宋_GB2312"/>
          <w:szCs w:val="32"/>
        </w:rPr>
      </w:pPr>
      <w:r>
        <w:rPr>
          <w:rFonts w:hint="eastAsia" w:ascii="仿宋_GB2312" w:hAnsi="ˎ̥" w:eastAsia="仿宋_GB2312"/>
          <w:szCs w:val="32"/>
        </w:rPr>
        <w:t>本年支出1722.52万元，其中：基本支出1557.92万元，占0.00%；项目支出164.6万元，占5%；上缴上级支出</w:t>
      </w:r>
      <w:r>
        <w:rPr>
          <w:rFonts w:ascii="仿宋_GB2312" w:hAnsi="ˎ̥" w:eastAsia="仿宋_GB2312"/>
          <w:szCs w:val="32"/>
        </w:rPr>
        <w:t>0.00</w:t>
      </w:r>
      <w:r>
        <w:rPr>
          <w:rFonts w:hint="eastAsia" w:ascii="仿宋_GB2312" w:hAnsi="ˎ̥" w:eastAsia="仿宋_GB2312"/>
          <w:szCs w:val="32"/>
        </w:rPr>
        <w:t>万元，占0%；经营支出</w:t>
      </w:r>
      <w:r>
        <w:rPr>
          <w:rFonts w:ascii="仿宋_GB2312" w:hAnsi="ˎ̥" w:eastAsia="仿宋_GB2312"/>
          <w:szCs w:val="32"/>
        </w:rPr>
        <w:t>0.00</w:t>
      </w:r>
      <w:r>
        <w:rPr>
          <w:rFonts w:hint="eastAsia" w:ascii="仿宋_GB2312" w:hAnsi="ˎ̥" w:eastAsia="仿宋_GB2312"/>
          <w:szCs w:val="32"/>
        </w:rPr>
        <w:t>万元，占0%；对附属单位补助支出</w:t>
      </w:r>
      <w:r>
        <w:rPr>
          <w:rFonts w:ascii="仿宋_GB2312" w:hAnsi="ˎ̥" w:eastAsia="仿宋_GB2312"/>
          <w:szCs w:val="32"/>
        </w:rPr>
        <w:t>0.00</w:t>
      </w:r>
      <w:r>
        <w:rPr>
          <w:rFonts w:hint="eastAsia" w:ascii="仿宋_GB2312" w:hAnsi="ˎ̥" w:eastAsia="仿宋_GB2312"/>
          <w:szCs w:val="32"/>
        </w:rPr>
        <w:t>万元，占0%。</w:t>
      </w:r>
    </w:p>
    <w:p>
      <w:pPr>
        <w:kinsoku w:val="0"/>
        <w:topLinePunct/>
        <w:ind w:firstLine="640" w:firstLineChars="200"/>
        <w:rPr>
          <w:rFonts w:ascii="仿宋_GB2312" w:hAnsi="ˎ̥" w:eastAsia="仿宋_GB2312"/>
          <w:szCs w:val="32"/>
        </w:rPr>
      </w:pPr>
      <w:r>
        <w:rPr>
          <w:rFonts w:hint="eastAsia" w:ascii="仿宋_GB2312" w:hAnsi="ˎ̥" w:eastAsia="仿宋_GB2312"/>
          <w:szCs w:val="32"/>
        </w:rPr>
        <w:t>（注</w:t>
      </w:r>
      <w:r>
        <w:rPr>
          <w:rFonts w:ascii="仿宋_GB2312" w:hAnsi="ˎ̥" w:eastAsia="仿宋_GB2312"/>
          <w:szCs w:val="32"/>
        </w:rPr>
        <w:t>：</w:t>
      </w:r>
      <w:r>
        <w:rPr>
          <w:rFonts w:hint="eastAsia" w:ascii="仿宋_GB2312" w:hAnsi="ˎ̥" w:eastAsia="仿宋_GB2312"/>
          <w:szCs w:val="32"/>
        </w:rPr>
        <w:t>上述各项支出数字可取自财决公开03表）</w:t>
      </w:r>
    </w:p>
    <w:p>
      <w:pPr>
        <w:kinsoku w:val="0"/>
        <w:topLinePunct/>
        <w:ind w:firstLine="627" w:firstLineChars="196"/>
        <w:rPr>
          <w:rFonts w:ascii="黑体" w:hAnsi="黑体" w:eastAsia="黑体" w:cs="黑体"/>
          <w:bCs/>
          <w:szCs w:val="32"/>
        </w:rPr>
      </w:pPr>
      <w:r>
        <w:rPr>
          <w:rFonts w:hint="eastAsia" w:ascii="黑体" w:hAnsi="黑体" w:eastAsia="黑体" w:cs="黑体"/>
          <w:bCs/>
          <w:szCs w:val="32"/>
        </w:rPr>
        <w:t>四、财政拨款收入支出决算总体情况说明</w:t>
      </w:r>
    </w:p>
    <w:p>
      <w:pPr>
        <w:kinsoku w:val="0"/>
        <w:topLinePunct/>
        <w:ind w:firstLine="640" w:firstLineChars="200"/>
        <w:rPr>
          <w:rFonts w:ascii="仿宋_GB2312" w:hAnsi="ˎ̥" w:eastAsia="仿宋_GB2312"/>
          <w:szCs w:val="32"/>
        </w:rPr>
      </w:pPr>
      <w:r>
        <w:rPr>
          <w:rFonts w:hint="eastAsia" w:ascii="仿宋_GB2312" w:hAnsi="ˎ̥" w:eastAsia="仿宋_GB2312"/>
          <w:szCs w:val="32"/>
        </w:rPr>
        <w:t>2025年度财政拨款收入427.29万元，支出427.29万元。与2024年度相比，财政拨款收入增加19.31万元，增长（下降）98.24%，主要原因：积分超市经费多了4000万元。支出增加（减少）0.00万元，增长（下降）0%，主要原因：一是……；二是……。</w:t>
      </w:r>
    </w:p>
    <w:p>
      <w:pPr>
        <w:kinsoku w:val="0"/>
        <w:topLinePunct/>
        <w:ind w:firstLine="640" w:firstLineChars="200"/>
        <w:rPr>
          <w:rFonts w:ascii="仿宋_GB2312" w:hAnsi="ˎ̥" w:eastAsia="仿宋_GB2312"/>
          <w:szCs w:val="32"/>
        </w:rPr>
      </w:pPr>
      <w:r>
        <w:rPr>
          <w:rFonts w:hint="eastAsia" w:ascii="仿宋_GB2312" w:hAnsi="ˎ̥" w:eastAsia="仿宋_GB2312"/>
          <w:szCs w:val="32"/>
        </w:rPr>
        <w:t>财政拨款年初结转结余0万元，主要是……（简要说明结转结余形成或来源），较2023年度决算数增加（减少）0.00万元，增长（下降）0%，主要原因是……。</w:t>
      </w:r>
    </w:p>
    <w:p>
      <w:pPr>
        <w:kinsoku w:val="0"/>
        <w:topLinePunct/>
        <w:ind w:firstLine="640" w:firstLineChars="200"/>
        <w:rPr>
          <w:rFonts w:ascii="仿宋_GB2312" w:hAnsi="ˎ̥" w:eastAsia="仿宋_GB2312"/>
          <w:szCs w:val="32"/>
        </w:rPr>
      </w:pPr>
      <w:r>
        <w:rPr>
          <w:rFonts w:hint="eastAsia" w:ascii="仿宋_GB2312" w:hAnsi="ˎ̥" w:eastAsia="仿宋_GB2312"/>
          <w:szCs w:val="32"/>
        </w:rPr>
        <w:t>财政拨款年末结转结余</w:t>
      </w:r>
      <w:r>
        <w:rPr>
          <w:rFonts w:ascii="仿宋_GB2312" w:hAnsi="ˎ̥" w:eastAsia="仿宋_GB2312"/>
          <w:szCs w:val="32"/>
        </w:rPr>
        <w:t>0.00</w:t>
      </w:r>
      <w:r>
        <w:rPr>
          <w:rFonts w:hint="eastAsia" w:ascii="仿宋_GB2312" w:hAnsi="ˎ̥" w:eastAsia="仿宋_GB2312"/>
          <w:szCs w:val="32"/>
        </w:rPr>
        <w:t>万元，主要是……（简要说明结转结余的</w:t>
      </w:r>
      <w:r>
        <w:rPr>
          <w:rFonts w:ascii="仿宋_GB2312" w:hAnsi="ˎ̥" w:eastAsia="仿宋_GB2312"/>
          <w:szCs w:val="32"/>
        </w:rPr>
        <w:t>构成</w:t>
      </w:r>
      <w:r>
        <w:rPr>
          <w:rFonts w:hint="eastAsia" w:ascii="仿宋_GB2312" w:hAnsi="ˎ̥" w:eastAsia="仿宋_GB2312"/>
          <w:szCs w:val="32"/>
        </w:rPr>
        <w:t>），较2023年度决算数增加（减少）0万元，增长（下降）0%，主要原因是……。</w:t>
      </w:r>
    </w:p>
    <w:p>
      <w:pPr>
        <w:kinsoku w:val="0"/>
        <w:topLinePunct/>
        <w:ind w:firstLine="640" w:firstLineChars="200"/>
        <w:rPr>
          <w:rFonts w:ascii="仿宋_GB2312" w:hAnsi="ˎ̥" w:eastAsia="仿宋_GB2312"/>
          <w:szCs w:val="32"/>
        </w:rPr>
      </w:pPr>
      <w:r>
        <w:rPr>
          <w:rFonts w:hint="eastAsia" w:ascii="仿宋_GB2312" w:hAnsi="ˎ̥" w:eastAsia="仿宋_GB2312"/>
          <w:szCs w:val="32"/>
        </w:rPr>
        <w:t>（注</w:t>
      </w:r>
      <w:r>
        <w:rPr>
          <w:rFonts w:ascii="仿宋_GB2312" w:hAnsi="ˎ̥" w:eastAsia="仿宋_GB2312"/>
          <w:szCs w:val="32"/>
        </w:rPr>
        <w:t>：</w:t>
      </w:r>
      <w:r>
        <w:rPr>
          <w:rFonts w:hint="eastAsia" w:ascii="仿宋_GB2312" w:hAnsi="ˎ̥" w:eastAsia="仿宋_GB2312"/>
          <w:szCs w:val="32"/>
        </w:rPr>
        <w:t>2024年度决算相关数据可取自财决公开04表。2023年度决算相关数据可取自2023年度部门决算报表财决01-1表《财政拨款收入支出决算总表》）</w:t>
      </w:r>
    </w:p>
    <w:p>
      <w:pPr>
        <w:kinsoku w:val="0"/>
        <w:topLinePunct/>
        <w:ind w:firstLine="627" w:firstLineChars="196"/>
        <w:rPr>
          <w:rFonts w:ascii="黑体" w:hAnsi="黑体" w:eastAsia="黑体" w:cs="黑体"/>
          <w:bCs/>
          <w:szCs w:val="32"/>
        </w:rPr>
      </w:pPr>
      <w:r>
        <w:rPr>
          <w:rFonts w:hint="eastAsia" w:ascii="黑体" w:hAnsi="黑体" w:eastAsia="黑体" w:cs="黑体"/>
          <w:bCs/>
          <w:szCs w:val="32"/>
        </w:rPr>
        <w:t>五、一般公共预算财政拨款支出决算情况说明</w:t>
      </w:r>
    </w:p>
    <w:p>
      <w:pPr>
        <w:kinsoku w:val="0"/>
        <w:topLinePunct/>
        <w:ind w:firstLine="640" w:firstLineChars="200"/>
        <w:rPr>
          <w:rFonts w:ascii="楷体" w:hAnsi="楷体" w:eastAsia="楷体" w:cs="楷体"/>
          <w:szCs w:val="32"/>
        </w:rPr>
      </w:pPr>
      <w:bookmarkStart w:id="76" w:name="_Toc17398_WPSOffice_Level2"/>
      <w:bookmarkStart w:id="77" w:name="_Toc13694_WPSOffice_Level2"/>
      <w:bookmarkStart w:id="78" w:name="_Toc23005_WPSOffice_Level2"/>
      <w:bookmarkStart w:id="79" w:name="_Toc21737_WPSOffice_Level2"/>
      <w:bookmarkStart w:id="80" w:name="_Toc19665_WPSOffice_Level2"/>
      <w:bookmarkStart w:id="81" w:name="_Toc9989_WPSOffice_Level2"/>
      <w:r>
        <w:rPr>
          <w:rFonts w:hint="eastAsia" w:ascii="楷体" w:hAnsi="楷体" w:eastAsia="楷体" w:cs="楷体"/>
          <w:szCs w:val="32"/>
        </w:rPr>
        <w:t>（一）一般公共预算财政拨款支出决算总体情况</w:t>
      </w:r>
      <w:bookmarkEnd w:id="76"/>
      <w:bookmarkEnd w:id="77"/>
      <w:r>
        <w:rPr>
          <w:rFonts w:hint="eastAsia" w:ascii="楷体" w:hAnsi="楷体" w:eastAsia="楷体" w:cs="楷体"/>
          <w:szCs w:val="32"/>
        </w:rPr>
        <w:t>。</w:t>
      </w:r>
      <w:bookmarkEnd w:id="78"/>
      <w:bookmarkEnd w:id="79"/>
      <w:bookmarkEnd w:id="80"/>
      <w:bookmarkEnd w:id="81"/>
    </w:p>
    <w:p>
      <w:pPr>
        <w:kinsoku w:val="0"/>
        <w:topLinePunct/>
        <w:ind w:firstLine="640" w:firstLineChars="200"/>
        <w:rPr>
          <w:rFonts w:ascii="仿宋_GB2312" w:hAnsi="ˎ̥" w:eastAsia="仿宋_GB2312"/>
          <w:szCs w:val="32"/>
        </w:rPr>
      </w:pPr>
      <w:r>
        <w:rPr>
          <w:rFonts w:hint="eastAsia" w:ascii="仿宋_GB2312" w:hAnsi="ˎ̥" w:eastAsia="仿宋_GB2312"/>
          <w:szCs w:val="32"/>
        </w:rPr>
        <w:t>2025年度一般公共预算财政拨款支出427.29万元，占本年支出合计的5%。与2022年度相比，一般公共预算财政拨款支出减少</w:t>
      </w:r>
      <w:r>
        <w:rPr>
          <w:rFonts w:hint="eastAsia" w:eastAsia="仿宋_GB2312"/>
          <w:szCs w:val="32"/>
        </w:rPr>
        <w:t>19</w:t>
      </w:r>
      <w:r>
        <w:rPr>
          <w:rFonts w:hint="eastAsia" w:ascii="仿宋_GB2312" w:hAnsi="ˎ̥" w:eastAsia="仿宋_GB2312"/>
          <w:szCs w:val="32"/>
        </w:rPr>
        <w:t>万元，降低</w:t>
      </w:r>
      <w:r>
        <w:rPr>
          <w:rFonts w:hint="eastAsia" w:eastAsia="仿宋_GB2312"/>
          <w:szCs w:val="32"/>
        </w:rPr>
        <w:t>15.64</w:t>
      </w:r>
      <w:r>
        <w:rPr>
          <w:rFonts w:eastAsia="仿宋_GB2312"/>
          <w:szCs w:val="32"/>
        </w:rPr>
        <w:t>%</w:t>
      </w:r>
      <w:r>
        <w:rPr>
          <w:rFonts w:hint="eastAsia" w:ascii="仿宋_GB2312" w:hAnsi="ˎ̥" w:eastAsia="仿宋_GB2312"/>
          <w:szCs w:val="32"/>
        </w:rPr>
        <w:t>%，</w:t>
      </w:r>
      <w:r>
        <w:rPr>
          <w:rFonts w:hint="eastAsia" w:eastAsia="仿宋_GB2312"/>
          <w:szCs w:val="32"/>
        </w:rPr>
        <w:t>2024年人员变少导致人员经费减少</w:t>
      </w:r>
      <w:r>
        <w:rPr>
          <w:rFonts w:hint="eastAsia" w:ascii="仿宋_GB2312" w:hAnsi="ˎ̥" w:eastAsia="仿宋_GB2312"/>
          <w:szCs w:val="32"/>
        </w:rPr>
        <w:t>。</w:t>
      </w:r>
    </w:p>
    <w:p>
      <w:pPr>
        <w:kinsoku w:val="0"/>
        <w:topLinePunct/>
        <w:ind w:firstLine="640" w:firstLineChars="200"/>
        <w:rPr>
          <w:rFonts w:ascii="楷体" w:hAnsi="楷体" w:eastAsia="楷体" w:cs="楷体"/>
          <w:szCs w:val="32"/>
        </w:rPr>
      </w:pPr>
      <w:bookmarkStart w:id="82" w:name="_Toc18793_WPSOffice_Level2"/>
      <w:bookmarkStart w:id="83" w:name="_Toc2711_WPSOffice_Level2"/>
      <w:bookmarkStart w:id="84" w:name="_Toc27767_WPSOffice_Level2"/>
      <w:bookmarkStart w:id="85" w:name="_Toc23864_WPSOffice_Level2"/>
      <w:bookmarkStart w:id="86" w:name="_Toc19075_WPSOffice_Level2"/>
      <w:bookmarkStart w:id="87" w:name="_Toc19535_WPSOffice_Level2"/>
      <w:r>
        <w:rPr>
          <w:rFonts w:hint="eastAsia" w:ascii="楷体" w:hAnsi="楷体" w:eastAsia="楷体" w:cs="楷体"/>
          <w:szCs w:val="32"/>
        </w:rPr>
        <w:t>（二）一般公共预算财政拨款支出决算结构情况</w:t>
      </w:r>
      <w:bookmarkEnd w:id="82"/>
      <w:bookmarkEnd w:id="83"/>
      <w:r>
        <w:rPr>
          <w:rFonts w:hint="eastAsia" w:ascii="楷体" w:hAnsi="楷体" w:eastAsia="楷体" w:cs="楷体"/>
          <w:szCs w:val="32"/>
        </w:rPr>
        <w:t>。</w:t>
      </w:r>
      <w:bookmarkEnd w:id="84"/>
      <w:bookmarkEnd w:id="85"/>
      <w:bookmarkEnd w:id="86"/>
      <w:bookmarkEnd w:id="87"/>
    </w:p>
    <w:p>
      <w:pPr>
        <w:kinsoku w:val="0"/>
        <w:topLinePunct/>
        <w:ind w:firstLine="640" w:firstLineChars="200"/>
        <w:rPr>
          <w:rFonts w:ascii="仿宋_GB2312" w:hAnsi="ˎ̥" w:eastAsia="仿宋_GB2312"/>
          <w:szCs w:val="32"/>
        </w:rPr>
      </w:pPr>
      <w:r>
        <w:rPr>
          <w:rFonts w:hint="eastAsia" w:ascii="仿宋_GB2312" w:hAnsi="ˎ̥" w:eastAsia="仿宋_GB2312"/>
          <w:szCs w:val="32"/>
        </w:rPr>
        <w:t>2024年度一般公共预算财政拨款支出1722.52万元，主要用于以下方面：</w:t>
      </w:r>
      <w:r>
        <w:rPr>
          <w:rFonts w:hint="eastAsia" w:ascii="仿宋_GB2312" w:hAnsi="ˎ̥" w:eastAsia="仿宋_GB2312"/>
          <w:b/>
          <w:szCs w:val="32"/>
        </w:rPr>
        <w:t>一般公共服务（类）</w:t>
      </w:r>
      <w:r>
        <w:rPr>
          <w:rFonts w:hint="eastAsia" w:ascii="仿宋_GB2312" w:hAnsi="ˎ̥" w:eastAsia="仿宋_GB2312"/>
          <w:szCs w:val="32"/>
        </w:rPr>
        <w:t>支出427.29万元，占5%；……</w:t>
      </w:r>
      <w:r>
        <w:rPr>
          <w:rFonts w:hint="eastAsia" w:ascii="仿宋_GB2312" w:hAnsi="ˎ̥" w:eastAsia="仿宋_GB2312"/>
          <w:b/>
          <w:szCs w:val="32"/>
        </w:rPr>
        <w:t>社会保障和就业（类）</w:t>
      </w:r>
      <w:r>
        <w:rPr>
          <w:rFonts w:hint="eastAsia" w:ascii="仿宋_GB2312" w:hAnsi="ˎ̥" w:eastAsia="仿宋_GB2312"/>
          <w:szCs w:val="32"/>
        </w:rPr>
        <w:t>支出0.00万元，占0%；</w:t>
      </w:r>
      <w:r>
        <w:rPr>
          <w:rFonts w:hint="eastAsia" w:ascii="仿宋_GB2312" w:hAnsi="ˎ̥" w:eastAsia="仿宋_GB2312"/>
          <w:b/>
          <w:bCs/>
          <w:szCs w:val="32"/>
        </w:rPr>
        <w:t>住房保障（类）</w:t>
      </w:r>
      <w:r>
        <w:rPr>
          <w:rFonts w:hint="eastAsia" w:ascii="仿宋_GB2312" w:hAnsi="ˎ̥" w:eastAsia="仿宋_GB2312"/>
          <w:szCs w:val="32"/>
        </w:rPr>
        <w:t>支出0万元，占0%；……。</w:t>
      </w:r>
    </w:p>
    <w:p>
      <w:pPr>
        <w:kinsoku w:val="0"/>
        <w:topLinePunct/>
        <w:ind w:firstLine="640" w:firstLineChars="200"/>
        <w:rPr>
          <w:rFonts w:ascii="仿宋_GB2312" w:hAnsi="ˎ̥" w:eastAsia="仿宋_GB2312"/>
          <w:szCs w:val="32"/>
        </w:rPr>
      </w:pPr>
      <w:r>
        <w:rPr>
          <w:rFonts w:hint="eastAsia" w:ascii="仿宋_GB2312" w:hAnsi="ˎ̥" w:eastAsia="仿宋_GB2312"/>
          <w:szCs w:val="32"/>
        </w:rPr>
        <w:t>（注</w:t>
      </w:r>
      <w:r>
        <w:rPr>
          <w:rFonts w:ascii="仿宋_GB2312" w:hAnsi="ˎ̥" w:eastAsia="仿宋_GB2312"/>
          <w:szCs w:val="32"/>
        </w:rPr>
        <w:t>：</w:t>
      </w:r>
      <w:r>
        <w:rPr>
          <w:rFonts w:hint="eastAsia" w:ascii="仿宋_GB2312" w:hAnsi="ˎ̥" w:eastAsia="仿宋_GB2312"/>
          <w:szCs w:val="32"/>
        </w:rPr>
        <w:t>根据各部门（单位）实际支出涉及的支出功能分类类级科目填列）</w:t>
      </w:r>
    </w:p>
    <w:p>
      <w:pPr>
        <w:kinsoku w:val="0"/>
        <w:topLinePunct/>
        <w:ind w:firstLine="640" w:firstLineChars="200"/>
        <w:rPr>
          <w:rFonts w:ascii="楷体" w:hAnsi="楷体" w:eastAsia="楷体" w:cs="楷体"/>
          <w:szCs w:val="32"/>
        </w:rPr>
      </w:pPr>
      <w:bookmarkStart w:id="88" w:name="_Toc9502_WPSOffice_Level2"/>
      <w:bookmarkStart w:id="89" w:name="_Toc15415_WPSOffice_Level2"/>
      <w:bookmarkStart w:id="90" w:name="_Toc25136_WPSOffice_Level2"/>
      <w:bookmarkStart w:id="91" w:name="_Toc22318_WPSOffice_Level2"/>
      <w:bookmarkStart w:id="92" w:name="_Toc21701_WPSOffice_Level2"/>
      <w:bookmarkStart w:id="93" w:name="_Toc29364_WPSOffice_Level2"/>
      <w:r>
        <w:rPr>
          <w:rFonts w:hint="eastAsia" w:ascii="楷体" w:hAnsi="楷体" w:eastAsia="楷体" w:cs="楷体"/>
          <w:szCs w:val="32"/>
        </w:rPr>
        <w:t>（三）一般公共预算财政拨款支出决算具体情况。</w:t>
      </w:r>
      <w:bookmarkEnd w:id="88"/>
      <w:bookmarkEnd w:id="89"/>
      <w:bookmarkEnd w:id="90"/>
      <w:bookmarkEnd w:id="91"/>
      <w:bookmarkEnd w:id="92"/>
      <w:bookmarkEnd w:id="93"/>
    </w:p>
    <w:p>
      <w:pPr>
        <w:kinsoku w:val="0"/>
        <w:topLinePunct/>
        <w:ind w:firstLine="640" w:firstLineChars="200"/>
        <w:rPr>
          <w:rFonts w:ascii="仿宋_GB2312" w:hAnsi="ˎ̥" w:eastAsia="仿宋_GB2312"/>
          <w:szCs w:val="32"/>
        </w:rPr>
      </w:pPr>
      <w:r>
        <w:rPr>
          <w:rFonts w:hint="eastAsia" w:ascii="仿宋_GB2312" w:hAnsi="ˎ̥" w:eastAsia="仿宋_GB2312"/>
          <w:szCs w:val="32"/>
        </w:rPr>
        <w:t>2025年度一般公共预算财政拨款支出年初预算为427.29万元，支出决算为1722.52万元，完成年初预算的100%。其中：</w:t>
      </w:r>
    </w:p>
    <w:p>
      <w:pPr>
        <w:kinsoku w:val="0"/>
        <w:topLinePunct/>
        <w:ind w:firstLine="643" w:firstLineChars="200"/>
        <w:rPr>
          <w:rFonts w:ascii="仿宋_GB2312" w:hAnsi="ˎ̥" w:eastAsia="仿宋_GB2312"/>
          <w:b/>
          <w:szCs w:val="32"/>
        </w:rPr>
      </w:pPr>
      <w:r>
        <w:rPr>
          <w:rFonts w:hint="eastAsia" w:eastAsia="仿宋_GB2312"/>
          <w:b/>
          <w:szCs w:val="32"/>
        </w:rPr>
        <w:t>1.</w:t>
      </w:r>
      <w:r>
        <w:rPr>
          <w:rFonts w:hint="eastAsia" w:ascii="仿宋_GB2312" w:hAnsi="ˎ̥" w:eastAsia="仿宋_GB2312"/>
          <w:b/>
          <w:szCs w:val="32"/>
        </w:rPr>
        <w:t>一般公共服务（类）人大事务（款）行政运行（项）。</w:t>
      </w:r>
    </w:p>
    <w:p>
      <w:pPr>
        <w:kinsoku w:val="0"/>
        <w:topLinePunct/>
        <w:rPr>
          <w:rFonts w:ascii="仿宋_GB2312" w:hAnsi="ˎ̥" w:eastAsia="仿宋_GB2312"/>
          <w:szCs w:val="32"/>
        </w:rPr>
      </w:pPr>
      <w:r>
        <w:rPr>
          <w:rFonts w:hint="eastAsia" w:ascii="仿宋_GB2312" w:hAnsi="ˎ̥" w:eastAsia="仿宋_GB2312"/>
          <w:szCs w:val="32"/>
        </w:rPr>
        <w:t>年初预算为427.29万元，支出决算为427.29万元，完成年初预算的100%。决算数大于（小于）预算数的主要原因：一是……；二是……。</w:t>
      </w:r>
    </w:p>
    <w:p>
      <w:pPr>
        <w:kinsoku w:val="0"/>
        <w:topLinePunct/>
        <w:ind w:firstLine="321" w:firstLineChars="100"/>
        <w:rPr>
          <w:rFonts w:ascii="仿宋_GB2312" w:hAnsi="ˎ̥" w:eastAsia="仿宋_GB2312"/>
          <w:szCs w:val="32"/>
        </w:rPr>
      </w:pPr>
      <w:r>
        <w:rPr>
          <w:rFonts w:hint="eastAsia" w:eastAsia="仿宋_GB2312"/>
          <w:b/>
          <w:szCs w:val="32"/>
        </w:rPr>
        <w:t>2.</w:t>
      </w:r>
      <w:r>
        <w:rPr>
          <w:rFonts w:eastAsia="仿宋_GB2312"/>
          <w:b/>
          <w:szCs w:val="32"/>
        </w:rPr>
        <w:t>一般公共服务（类）</w:t>
      </w:r>
      <w:r>
        <w:rPr>
          <w:rFonts w:hint="eastAsia" w:eastAsia="仿宋_GB2312"/>
          <w:b/>
          <w:szCs w:val="32"/>
        </w:rPr>
        <w:t>组织</w:t>
      </w:r>
      <w:r>
        <w:rPr>
          <w:rFonts w:eastAsia="仿宋_GB2312"/>
          <w:b/>
          <w:szCs w:val="32"/>
        </w:rPr>
        <w:t>事务（款）行政运行（项）。</w:t>
      </w:r>
    </w:p>
    <w:p>
      <w:pPr>
        <w:kinsoku w:val="0"/>
        <w:topLinePunct/>
        <w:ind w:firstLine="640" w:firstLineChars="200"/>
        <w:rPr>
          <w:rFonts w:eastAsia="仿宋_GB2312"/>
          <w:szCs w:val="32"/>
        </w:rPr>
      </w:pPr>
      <w:r>
        <w:rPr>
          <w:rFonts w:eastAsia="仿宋_GB2312"/>
          <w:szCs w:val="32"/>
        </w:rPr>
        <w:t>年初预算为</w:t>
      </w:r>
      <w:r>
        <w:rPr>
          <w:rFonts w:hint="eastAsia" w:eastAsia="仿宋_GB2312"/>
          <w:szCs w:val="32"/>
        </w:rPr>
        <w:t>427.29</w:t>
      </w:r>
      <w:r>
        <w:rPr>
          <w:rFonts w:eastAsia="仿宋_GB2312"/>
          <w:szCs w:val="32"/>
        </w:rPr>
        <w:t>万元，支出决算为</w:t>
      </w:r>
      <w:r>
        <w:rPr>
          <w:rFonts w:hint="eastAsia" w:eastAsia="仿宋_GB2312"/>
          <w:szCs w:val="32"/>
        </w:rPr>
        <w:t>427.29</w:t>
      </w:r>
      <w:r>
        <w:rPr>
          <w:rFonts w:eastAsia="仿宋_GB2312"/>
          <w:szCs w:val="32"/>
        </w:rPr>
        <w:t>万元，完成年初预算的</w:t>
      </w:r>
      <w:r>
        <w:rPr>
          <w:rFonts w:hint="eastAsia" w:eastAsia="仿宋_GB2312"/>
          <w:szCs w:val="32"/>
        </w:rPr>
        <w:t>100</w:t>
      </w:r>
      <w:r>
        <w:rPr>
          <w:rFonts w:eastAsia="仿宋_GB2312"/>
          <w:szCs w:val="32"/>
        </w:rPr>
        <w:t>%。</w:t>
      </w:r>
    </w:p>
    <w:p>
      <w:pPr>
        <w:kinsoku w:val="0"/>
        <w:topLinePunct/>
        <w:ind w:firstLine="315" w:firstLineChars="98"/>
        <w:rPr>
          <w:rFonts w:eastAsia="仿宋_GB2312"/>
          <w:b/>
          <w:szCs w:val="32"/>
        </w:rPr>
      </w:pPr>
      <w:r>
        <w:rPr>
          <w:rFonts w:hint="eastAsia" w:eastAsia="仿宋_GB2312"/>
          <w:b/>
          <w:szCs w:val="32"/>
        </w:rPr>
        <w:t>3.</w:t>
      </w:r>
      <w:r>
        <w:rPr>
          <w:rFonts w:eastAsia="仿宋_GB2312"/>
          <w:b/>
          <w:szCs w:val="32"/>
        </w:rPr>
        <w:t>社会保障和就业</w:t>
      </w:r>
      <w:r>
        <w:rPr>
          <w:rFonts w:hint="eastAsia" w:eastAsia="仿宋_GB2312"/>
          <w:b/>
          <w:szCs w:val="32"/>
        </w:rPr>
        <w:t>支出</w:t>
      </w:r>
      <w:r>
        <w:rPr>
          <w:rFonts w:eastAsia="仿宋_GB2312"/>
          <w:b/>
          <w:szCs w:val="32"/>
        </w:rPr>
        <w:t>（类）</w:t>
      </w:r>
      <w:r>
        <w:rPr>
          <w:rFonts w:hint="eastAsia" w:eastAsia="仿宋_GB2312"/>
          <w:b/>
          <w:szCs w:val="32"/>
        </w:rPr>
        <w:t>行政事业单位养老支出（款）机关事业单位养老保险缴费支出（项）。</w:t>
      </w:r>
    </w:p>
    <w:p>
      <w:pPr>
        <w:kinsoku w:val="0"/>
        <w:topLinePunct/>
        <w:ind w:firstLine="640" w:firstLineChars="200"/>
        <w:rPr>
          <w:rFonts w:eastAsia="仿宋_GB2312"/>
          <w:szCs w:val="32"/>
        </w:rPr>
      </w:pPr>
      <w:r>
        <w:rPr>
          <w:rFonts w:eastAsia="仿宋_GB2312"/>
          <w:szCs w:val="32"/>
        </w:rPr>
        <w:t>年初预算为</w:t>
      </w:r>
      <w:r>
        <w:rPr>
          <w:rFonts w:hint="eastAsia" w:eastAsia="仿宋_GB2312"/>
          <w:szCs w:val="32"/>
        </w:rPr>
        <w:t>98.7</w:t>
      </w:r>
      <w:r>
        <w:rPr>
          <w:rFonts w:eastAsia="仿宋_GB2312"/>
          <w:szCs w:val="32"/>
        </w:rPr>
        <w:t>万元，支出决算为</w:t>
      </w:r>
      <w:r>
        <w:rPr>
          <w:rFonts w:hint="eastAsia" w:eastAsia="仿宋_GB2312"/>
          <w:szCs w:val="32"/>
        </w:rPr>
        <w:t>98.7</w:t>
      </w:r>
      <w:r>
        <w:rPr>
          <w:rFonts w:eastAsia="仿宋_GB2312"/>
          <w:szCs w:val="32"/>
        </w:rPr>
        <w:t>万元，完成年初预算的</w:t>
      </w:r>
      <w:r>
        <w:rPr>
          <w:rFonts w:hint="eastAsia" w:eastAsia="仿宋_GB2312"/>
          <w:szCs w:val="32"/>
        </w:rPr>
        <w:t>100</w:t>
      </w:r>
      <w:r>
        <w:rPr>
          <w:rFonts w:eastAsia="仿宋_GB2312"/>
          <w:szCs w:val="32"/>
        </w:rPr>
        <w:t>%。</w:t>
      </w:r>
    </w:p>
    <w:p>
      <w:pPr>
        <w:kinsoku w:val="0"/>
        <w:topLinePunct/>
        <w:ind w:firstLine="315" w:firstLineChars="98"/>
        <w:rPr>
          <w:rFonts w:eastAsia="仿宋_GB2312"/>
          <w:szCs w:val="32"/>
        </w:rPr>
      </w:pPr>
      <w:r>
        <w:rPr>
          <w:rFonts w:hint="eastAsia" w:eastAsia="仿宋_GB2312"/>
          <w:b/>
          <w:bCs/>
          <w:szCs w:val="32"/>
        </w:rPr>
        <w:t>4.</w:t>
      </w:r>
      <w:r>
        <w:rPr>
          <w:rFonts w:eastAsia="仿宋_GB2312"/>
          <w:b/>
          <w:bCs/>
          <w:szCs w:val="32"/>
        </w:rPr>
        <w:t>住房保障</w:t>
      </w:r>
      <w:r>
        <w:rPr>
          <w:rFonts w:hint="eastAsia" w:eastAsia="仿宋_GB2312"/>
          <w:b/>
          <w:bCs/>
          <w:szCs w:val="32"/>
        </w:rPr>
        <w:t>支出</w:t>
      </w:r>
      <w:r>
        <w:rPr>
          <w:rFonts w:eastAsia="仿宋_GB2312"/>
          <w:b/>
          <w:bCs/>
          <w:szCs w:val="32"/>
        </w:rPr>
        <w:t>（类）</w:t>
      </w:r>
      <w:r>
        <w:rPr>
          <w:rFonts w:hint="eastAsia" w:eastAsia="仿宋_GB2312"/>
          <w:b/>
          <w:bCs/>
          <w:szCs w:val="32"/>
        </w:rPr>
        <w:t>住房改革支出（款）住房公积金（项）</w:t>
      </w:r>
      <w:r>
        <w:rPr>
          <w:rFonts w:eastAsia="仿宋_GB2312"/>
          <w:szCs w:val="32"/>
        </w:rPr>
        <w:t>年初预算为</w:t>
      </w:r>
      <w:r>
        <w:rPr>
          <w:rFonts w:hint="eastAsia" w:eastAsia="仿宋_GB2312"/>
          <w:szCs w:val="32"/>
        </w:rPr>
        <w:t>35.1</w:t>
      </w:r>
      <w:r>
        <w:rPr>
          <w:rFonts w:eastAsia="仿宋_GB2312"/>
          <w:szCs w:val="32"/>
        </w:rPr>
        <w:t>万元，支出决算为</w:t>
      </w:r>
      <w:r>
        <w:rPr>
          <w:rFonts w:hint="eastAsia" w:eastAsia="仿宋_GB2312"/>
          <w:szCs w:val="32"/>
        </w:rPr>
        <w:t>35.1</w:t>
      </w:r>
      <w:r>
        <w:rPr>
          <w:rFonts w:eastAsia="仿宋_GB2312"/>
          <w:szCs w:val="32"/>
        </w:rPr>
        <w:t>万元，完成年初预算的</w:t>
      </w:r>
      <w:r>
        <w:rPr>
          <w:rFonts w:hint="eastAsia" w:eastAsia="仿宋_GB2312"/>
          <w:szCs w:val="32"/>
        </w:rPr>
        <w:t>100</w:t>
      </w:r>
      <w:r>
        <w:rPr>
          <w:rFonts w:eastAsia="仿宋_GB2312"/>
          <w:szCs w:val="32"/>
        </w:rPr>
        <w:t>%。</w:t>
      </w:r>
    </w:p>
    <w:p>
      <w:pPr>
        <w:kinsoku w:val="0"/>
        <w:topLinePunct/>
        <w:ind w:firstLine="640" w:firstLineChars="200"/>
        <w:rPr>
          <w:rFonts w:ascii="仿宋_GB2312" w:hAnsi="ˎ̥" w:eastAsia="仿宋_GB2312"/>
          <w:szCs w:val="32"/>
        </w:rPr>
      </w:pPr>
      <w:r>
        <w:rPr>
          <w:rFonts w:hint="eastAsia" w:ascii="仿宋_GB2312" w:hAnsi="ˎ̥" w:eastAsia="仿宋_GB2312"/>
          <w:szCs w:val="32"/>
        </w:rPr>
        <w:t>（注</w:t>
      </w:r>
      <w:r>
        <w:rPr>
          <w:rFonts w:ascii="仿宋_GB2312" w:hAnsi="ˎ̥" w:eastAsia="仿宋_GB2312"/>
          <w:szCs w:val="32"/>
        </w:rPr>
        <w:t>：</w:t>
      </w:r>
      <w:r>
        <w:rPr>
          <w:rFonts w:hint="eastAsia" w:ascii="仿宋_GB2312" w:hAnsi="ˎ̥" w:eastAsia="仿宋_GB2312"/>
          <w:szCs w:val="32"/>
        </w:rPr>
        <w:t>本部分支出决算数字可取自财决公开05表，年初预算数可取自各部门（单位）年初预算大本，根据各部门（单位）实际支出涉及的支出功能分类项级科目填列）</w:t>
      </w:r>
    </w:p>
    <w:p>
      <w:pPr>
        <w:kinsoku w:val="0"/>
        <w:topLinePunct/>
        <w:ind w:firstLine="627" w:firstLineChars="196"/>
        <w:rPr>
          <w:rFonts w:ascii="黑体" w:hAnsi="黑体" w:eastAsia="黑体" w:cs="黑体"/>
          <w:szCs w:val="32"/>
        </w:rPr>
      </w:pPr>
      <w:r>
        <w:rPr>
          <w:rFonts w:hint="eastAsia" w:ascii="黑体" w:hAnsi="黑体" w:eastAsia="黑体" w:cs="黑体"/>
          <w:bCs/>
          <w:szCs w:val="32"/>
        </w:rPr>
        <w:t>六、一般公共预算财政拨款基本支出决算情况说明</w:t>
      </w:r>
    </w:p>
    <w:p>
      <w:pPr>
        <w:tabs>
          <w:tab w:val="center" w:pos="4473"/>
        </w:tabs>
        <w:kinsoku w:val="0"/>
        <w:topLinePunct/>
        <w:ind w:firstLine="640" w:firstLineChars="200"/>
        <w:rPr>
          <w:rFonts w:ascii="仿宋_GB2312" w:hAnsi="ˎ̥" w:eastAsia="仿宋_GB2312"/>
          <w:szCs w:val="32"/>
        </w:rPr>
      </w:pPr>
      <w:r>
        <w:rPr>
          <w:rFonts w:hint="eastAsia" w:ascii="仿宋_GB2312" w:hAnsi="ˎ̥" w:eastAsia="仿宋_GB2312"/>
          <w:szCs w:val="32"/>
        </w:rPr>
        <w:t>2025年度财政拨款基本支出1722.52万元，其中：人员经费472.29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427.29万元，主要包括：商品和服务支出中的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构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pPr>
        <w:tabs>
          <w:tab w:val="center" w:pos="4473"/>
        </w:tabs>
        <w:kinsoku w:val="0"/>
        <w:topLinePunct/>
        <w:ind w:firstLine="640" w:firstLineChars="200"/>
        <w:rPr>
          <w:rFonts w:ascii="仿宋_GB2312" w:hAnsi="ˎ̥" w:eastAsia="仿宋_GB2312"/>
          <w:szCs w:val="32"/>
        </w:rPr>
      </w:pPr>
      <w:r>
        <w:rPr>
          <w:rFonts w:hint="eastAsia" w:ascii="仿宋_GB2312" w:hAnsi="ˎ̥" w:eastAsia="仿宋_GB2312"/>
          <w:szCs w:val="32"/>
        </w:rPr>
        <w:t>（注</w:t>
      </w:r>
      <w:r>
        <w:rPr>
          <w:rFonts w:ascii="仿宋_GB2312" w:hAnsi="ˎ̥" w:eastAsia="仿宋_GB2312"/>
          <w:szCs w:val="32"/>
        </w:rPr>
        <w:t>：</w:t>
      </w:r>
      <w:r>
        <w:rPr>
          <w:rFonts w:hint="eastAsia" w:ascii="仿宋_GB2312" w:hAnsi="ˎ̥" w:eastAsia="仿宋_GB2312"/>
          <w:szCs w:val="32"/>
        </w:rPr>
        <w:t>上述数字可取自财决公开06表，各部门（单位）根据实际支出情况，选列相应支出经济分类。）</w:t>
      </w:r>
    </w:p>
    <w:p>
      <w:pPr>
        <w:tabs>
          <w:tab w:val="center" w:pos="4473"/>
        </w:tabs>
        <w:kinsoku w:val="0"/>
        <w:topLinePunct/>
        <w:ind w:firstLine="627" w:firstLineChars="196"/>
        <w:rPr>
          <w:rFonts w:ascii="黑体" w:hAnsi="黑体" w:eastAsia="黑体" w:cs="黑体"/>
          <w:bCs/>
          <w:szCs w:val="32"/>
        </w:rPr>
      </w:pPr>
      <w:r>
        <w:rPr>
          <w:rFonts w:hint="eastAsia" w:ascii="黑体" w:hAnsi="黑体" w:eastAsia="黑体" w:cs="黑体"/>
          <w:bCs/>
          <w:szCs w:val="32"/>
        </w:rPr>
        <w:t>七、政府性基金预算财政拨款支出决算情况说明</w:t>
      </w:r>
    </w:p>
    <w:p>
      <w:pPr>
        <w:kinsoku w:val="0"/>
        <w:topLinePunct/>
        <w:ind w:firstLine="640" w:firstLineChars="200"/>
        <w:rPr>
          <w:rFonts w:ascii="楷体" w:hAnsi="楷体" w:eastAsia="楷体" w:cs="楷体"/>
          <w:szCs w:val="32"/>
        </w:rPr>
      </w:pPr>
      <w:r>
        <w:rPr>
          <w:rFonts w:hint="eastAsia" w:ascii="楷体" w:hAnsi="楷体" w:eastAsia="楷体" w:cs="楷体"/>
          <w:szCs w:val="32"/>
        </w:rPr>
        <w:t>（一）政府性基金预算财政拨款支出决算总体情况。</w:t>
      </w:r>
    </w:p>
    <w:p>
      <w:pPr>
        <w:kinsoku w:val="0"/>
        <w:topLinePunct/>
        <w:ind w:firstLine="640" w:firstLineChars="200"/>
        <w:rPr>
          <w:rFonts w:ascii="仿宋_GB2312" w:hAnsi="ˎ̥" w:eastAsia="仿宋_GB2312"/>
          <w:szCs w:val="32"/>
        </w:rPr>
      </w:pPr>
      <w:r>
        <w:rPr>
          <w:rFonts w:hint="eastAsia" w:ascii="仿宋_GB2312" w:hAnsi="ˎ̥" w:eastAsia="仿宋_GB2312"/>
          <w:szCs w:val="32"/>
        </w:rPr>
        <w:t>2025年度无政府性基金预算财政拨款。</w:t>
      </w:r>
    </w:p>
    <w:p>
      <w:pPr>
        <w:kinsoku w:val="0"/>
        <w:topLinePunct/>
        <w:ind w:firstLine="640" w:firstLineChars="200"/>
        <w:rPr>
          <w:rFonts w:ascii="楷体" w:hAnsi="楷体" w:eastAsia="楷体" w:cs="楷体"/>
          <w:szCs w:val="32"/>
        </w:rPr>
      </w:pPr>
      <w:r>
        <w:rPr>
          <w:rFonts w:hint="eastAsia" w:ascii="楷体" w:hAnsi="楷体" w:eastAsia="楷体" w:cs="楷体"/>
          <w:szCs w:val="32"/>
        </w:rPr>
        <w:t>（二）政府性基金预算财政拨款支出决算结构情况。</w:t>
      </w:r>
    </w:p>
    <w:p>
      <w:pPr>
        <w:kinsoku w:val="0"/>
        <w:topLinePunct/>
        <w:ind w:firstLine="640" w:firstLineChars="200"/>
        <w:rPr>
          <w:rFonts w:ascii="仿宋_GB2312" w:hAnsi="ˎ̥" w:eastAsia="仿宋_GB2312"/>
          <w:szCs w:val="32"/>
        </w:rPr>
      </w:pPr>
      <w:r>
        <w:rPr>
          <w:rFonts w:hint="eastAsia" w:ascii="仿宋_GB2312" w:hAnsi="ˎ̥" w:eastAsia="仿宋_GB2312"/>
          <w:szCs w:val="32"/>
        </w:rPr>
        <w:t>2025年度无政府性基金预算财政拨款</w:t>
      </w:r>
    </w:p>
    <w:p>
      <w:pPr>
        <w:kinsoku w:val="0"/>
        <w:topLinePunct/>
        <w:ind w:firstLine="640" w:firstLineChars="200"/>
        <w:rPr>
          <w:rFonts w:ascii="楷体" w:hAnsi="楷体" w:eastAsia="楷体" w:cs="楷体"/>
          <w:szCs w:val="32"/>
        </w:rPr>
      </w:pPr>
      <w:r>
        <w:rPr>
          <w:rFonts w:hint="eastAsia" w:ascii="楷体" w:hAnsi="楷体" w:eastAsia="楷体" w:cs="楷体"/>
          <w:szCs w:val="32"/>
        </w:rPr>
        <w:t>（三）政府性基金预算财政拨款支出决算具体情况。</w:t>
      </w:r>
    </w:p>
    <w:p>
      <w:pPr>
        <w:kinsoku w:val="0"/>
        <w:topLinePunct/>
        <w:ind w:firstLine="640" w:firstLineChars="200"/>
        <w:rPr>
          <w:rFonts w:ascii="仿宋_GB2312" w:hAnsi="ˎ̥" w:eastAsia="仿宋_GB2312"/>
          <w:szCs w:val="32"/>
        </w:rPr>
      </w:pPr>
      <w:r>
        <w:rPr>
          <w:rFonts w:hint="eastAsia" w:ascii="仿宋_GB2312" w:hAnsi="ˎ̥" w:eastAsia="仿宋_GB2312"/>
          <w:szCs w:val="32"/>
        </w:rPr>
        <w:t>2025年度无政府性基金预算财政拨款支出年初预算为0.00万元，支出决算为0.00万元。</w:t>
      </w:r>
    </w:p>
    <w:p>
      <w:pPr>
        <w:tabs>
          <w:tab w:val="center" w:pos="4473"/>
        </w:tabs>
        <w:kinsoku w:val="0"/>
        <w:topLinePunct/>
        <w:ind w:firstLine="627" w:firstLineChars="196"/>
        <w:rPr>
          <w:rFonts w:ascii="黑体" w:hAnsi="黑体" w:eastAsia="黑体" w:cs="黑体"/>
          <w:bCs/>
          <w:szCs w:val="32"/>
        </w:rPr>
      </w:pPr>
      <w:r>
        <w:rPr>
          <w:rFonts w:hint="eastAsia" w:ascii="黑体" w:hAnsi="黑体" w:eastAsia="黑体" w:cs="黑体"/>
          <w:bCs/>
          <w:szCs w:val="32"/>
        </w:rPr>
        <w:t>八、国有资本经营预算财政拨款支出决算情况说明</w:t>
      </w:r>
    </w:p>
    <w:p>
      <w:pPr>
        <w:kinsoku w:val="0"/>
        <w:topLinePunct/>
        <w:ind w:firstLine="640" w:firstLineChars="200"/>
        <w:rPr>
          <w:rFonts w:ascii="楷体" w:hAnsi="楷体" w:eastAsia="楷体" w:cs="楷体"/>
          <w:szCs w:val="32"/>
        </w:rPr>
      </w:pPr>
      <w:r>
        <w:rPr>
          <w:rFonts w:hint="eastAsia" w:ascii="楷体" w:hAnsi="楷体" w:eastAsia="楷体" w:cs="楷体"/>
          <w:szCs w:val="32"/>
        </w:rPr>
        <w:t>（一）国有资本经营预算财政拨款支出决算总体情况。</w:t>
      </w:r>
    </w:p>
    <w:p>
      <w:pPr>
        <w:kinsoku w:val="0"/>
        <w:topLinePunct/>
        <w:ind w:firstLine="640" w:firstLineChars="200"/>
        <w:rPr>
          <w:rFonts w:ascii="仿宋_GB2312" w:hAnsi="ˎ̥" w:eastAsia="仿宋_GB2312"/>
          <w:szCs w:val="32"/>
        </w:rPr>
      </w:pPr>
      <w:r>
        <w:rPr>
          <w:rFonts w:hint="eastAsia" w:ascii="仿宋_GB2312" w:hAnsi="ˎ̥" w:eastAsia="仿宋_GB2312"/>
          <w:szCs w:val="32"/>
        </w:rPr>
        <w:t>2025年度国有资本经营预算财政拨款支出</w:t>
      </w:r>
      <w:r>
        <w:rPr>
          <w:rFonts w:ascii="仿宋_GB2312" w:hAnsi="ˎ̥" w:eastAsia="仿宋_GB2312"/>
          <w:szCs w:val="32"/>
        </w:rPr>
        <w:t>0.00</w:t>
      </w:r>
      <w:r>
        <w:rPr>
          <w:rFonts w:hint="eastAsia" w:ascii="仿宋_GB2312" w:hAnsi="ˎ̥" w:eastAsia="仿宋_GB2312"/>
          <w:szCs w:val="32"/>
        </w:rPr>
        <w:t>万元。</w:t>
      </w:r>
    </w:p>
    <w:p>
      <w:pPr>
        <w:kinsoku w:val="0"/>
        <w:topLinePunct/>
        <w:ind w:firstLine="640" w:firstLineChars="200"/>
        <w:rPr>
          <w:rFonts w:ascii="楷体" w:hAnsi="楷体" w:eastAsia="楷体" w:cs="楷体"/>
          <w:szCs w:val="32"/>
        </w:rPr>
      </w:pPr>
      <w:r>
        <w:rPr>
          <w:rFonts w:hint="eastAsia" w:ascii="楷体" w:hAnsi="楷体" w:eastAsia="楷体" w:cs="楷体"/>
          <w:szCs w:val="32"/>
        </w:rPr>
        <w:t>（二）国有资本经营预算财政拨款支出决算结构情况。</w:t>
      </w:r>
    </w:p>
    <w:p>
      <w:pPr>
        <w:kinsoku w:val="0"/>
        <w:topLinePunct/>
        <w:ind w:firstLine="640" w:firstLineChars="200"/>
        <w:rPr>
          <w:rFonts w:ascii="仿宋_GB2312" w:hAnsi="ˎ̥" w:eastAsia="仿宋_GB2312"/>
          <w:szCs w:val="32"/>
        </w:rPr>
      </w:pPr>
      <w:r>
        <w:rPr>
          <w:rFonts w:hint="eastAsia" w:ascii="仿宋_GB2312" w:hAnsi="ˎ̥" w:eastAsia="仿宋_GB2312"/>
          <w:szCs w:val="32"/>
        </w:rPr>
        <w:t>2025年度国有资本经营预算财政拨款支出</w:t>
      </w:r>
      <w:r>
        <w:rPr>
          <w:rFonts w:ascii="仿宋_GB2312" w:hAnsi="ˎ̥" w:eastAsia="仿宋_GB2312"/>
          <w:szCs w:val="32"/>
        </w:rPr>
        <w:t>0.00</w:t>
      </w:r>
      <w:r>
        <w:rPr>
          <w:rFonts w:hint="eastAsia" w:ascii="仿宋_GB2312" w:hAnsi="ˎ̥" w:eastAsia="仿宋_GB2312"/>
          <w:szCs w:val="32"/>
        </w:rPr>
        <w:t>万元。</w:t>
      </w:r>
    </w:p>
    <w:p>
      <w:pPr>
        <w:kinsoku w:val="0"/>
        <w:topLinePunct/>
        <w:ind w:firstLine="640" w:firstLineChars="200"/>
        <w:rPr>
          <w:rFonts w:ascii="楷体" w:hAnsi="楷体" w:eastAsia="楷体" w:cs="楷体"/>
          <w:szCs w:val="32"/>
        </w:rPr>
      </w:pPr>
      <w:r>
        <w:rPr>
          <w:rFonts w:hint="eastAsia" w:ascii="楷体" w:hAnsi="楷体" w:eastAsia="楷体" w:cs="楷体"/>
          <w:szCs w:val="32"/>
        </w:rPr>
        <w:t>（三）国有资本经营预算财政拨款支出决算具体情况。</w:t>
      </w:r>
    </w:p>
    <w:p>
      <w:pPr>
        <w:kinsoku w:val="0"/>
        <w:topLinePunct/>
        <w:ind w:firstLine="640" w:firstLineChars="200"/>
        <w:rPr>
          <w:rFonts w:ascii="仿宋_GB2312" w:hAnsi="ˎ̥" w:eastAsia="仿宋_GB2312"/>
          <w:szCs w:val="32"/>
        </w:rPr>
      </w:pPr>
      <w:r>
        <w:rPr>
          <w:rFonts w:hint="eastAsia" w:ascii="仿宋_GB2312" w:hAnsi="ˎ̥" w:eastAsia="仿宋_GB2312"/>
          <w:szCs w:val="32"/>
        </w:rPr>
        <w:t>2025年度国有资本经营预算财政拨款支出年初预算为0.00万元。</w:t>
      </w:r>
    </w:p>
    <w:p>
      <w:pPr>
        <w:kinsoku w:val="0"/>
        <w:topLinePunct/>
        <w:ind w:firstLine="627" w:firstLineChars="196"/>
        <w:rPr>
          <w:rFonts w:ascii="仿宋_GB2312" w:hAnsi="ˎ̥" w:eastAsia="楷体_GB2312"/>
          <w:szCs w:val="32"/>
        </w:rPr>
      </w:pPr>
      <w:r>
        <w:rPr>
          <w:rFonts w:hint="eastAsia" w:ascii="黑体" w:hAnsi="黑体" w:eastAsia="黑体" w:cs="黑体"/>
          <w:bCs/>
          <w:szCs w:val="32"/>
        </w:rPr>
        <w:t>九、财政拨款“三公”经费支出决算情况说明</w:t>
      </w:r>
    </w:p>
    <w:p>
      <w:pPr>
        <w:kinsoku w:val="0"/>
        <w:topLinePunct/>
        <w:ind w:firstLine="640" w:firstLineChars="200"/>
        <w:rPr>
          <w:rFonts w:ascii="楷体" w:hAnsi="楷体" w:eastAsia="楷体" w:cs="楷体"/>
          <w:bCs/>
          <w:szCs w:val="32"/>
        </w:rPr>
      </w:pPr>
      <w:r>
        <w:rPr>
          <w:rFonts w:hint="eastAsia" w:ascii="楷体" w:hAnsi="楷体" w:eastAsia="楷体" w:cs="楷体"/>
          <w:bCs/>
          <w:szCs w:val="32"/>
        </w:rPr>
        <w:t>（一）财政拨款“三公”经费支出决算总体情况说明。</w:t>
      </w:r>
    </w:p>
    <w:p>
      <w:pPr>
        <w:kinsoku w:val="0"/>
        <w:topLinePunct/>
        <w:rPr>
          <w:rFonts w:ascii="仿宋_GB2312" w:hAnsi="ˎ̥" w:eastAsia="仿宋_GB2312"/>
          <w:szCs w:val="32"/>
        </w:rPr>
      </w:pPr>
      <w:r>
        <w:rPr>
          <w:rFonts w:hint="eastAsia" w:ascii="仿宋_GB2312" w:hAnsi="ˎ̥" w:eastAsia="仿宋_GB2312"/>
          <w:szCs w:val="32"/>
        </w:rPr>
        <w:t xml:space="preserve">    2025年度财政拨款“三公”经费支出预算为6.24万元，支出决算为6.24万元，完成预算的100%。</w:t>
      </w:r>
    </w:p>
    <w:p>
      <w:pPr>
        <w:kinsoku w:val="0"/>
        <w:topLinePunct/>
        <w:rPr>
          <w:rFonts w:ascii="楷体" w:hAnsi="楷体" w:eastAsia="楷体" w:cs="楷体"/>
          <w:szCs w:val="32"/>
        </w:rPr>
      </w:pPr>
      <w:r>
        <w:rPr>
          <w:rFonts w:hint="eastAsia" w:ascii="楷体" w:hAnsi="楷体" w:eastAsia="楷体" w:cs="楷体"/>
          <w:szCs w:val="32"/>
        </w:rPr>
        <w:t xml:space="preserve"> （二）财政拨款“三公”经费支出决算具体情况说明。</w:t>
      </w:r>
    </w:p>
    <w:p>
      <w:pPr>
        <w:kinsoku w:val="0"/>
        <w:topLinePunct/>
        <w:ind w:firstLine="640" w:firstLineChars="200"/>
        <w:rPr>
          <w:rFonts w:ascii="仿宋_GB2312" w:hAnsi="ˎ̥" w:eastAsia="仿宋_GB2312"/>
          <w:szCs w:val="32"/>
        </w:rPr>
      </w:pPr>
      <w:r>
        <w:rPr>
          <w:rFonts w:hint="eastAsia" w:ascii="仿宋_GB2312" w:hAnsi="ˎ̥" w:eastAsia="仿宋_GB2312"/>
          <w:szCs w:val="32"/>
        </w:rPr>
        <w:t>2025年度财政拨款“三公”经费支出决算中，因公出国（境）费支出决算</w:t>
      </w:r>
      <w:r>
        <w:rPr>
          <w:rFonts w:ascii="仿宋_GB2312" w:hAnsi="ˎ̥" w:eastAsia="仿宋_GB2312"/>
          <w:szCs w:val="32"/>
        </w:rPr>
        <w:t>0.00</w:t>
      </w:r>
      <w:r>
        <w:rPr>
          <w:rFonts w:hint="eastAsia" w:ascii="仿宋_GB2312" w:hAnsi="ˎ̥" w:eastAsia="仿宋_GB2312"/>
          <w:szCs w:val="32"/>
        </w:rPr>
        <w:t>万元，占0%；公务用车购置及运行维护费支出决算6.24万元，占100%</w:t>
      </w:r>
    </w:p>
    <w:p>
      <w:pPr>
        <w:numPr>
          <w:ilvl w:val="0"/>
          <w:numId w:val="1"/>
        </w:numPr>
        <w:kinsoku w:val="0"/>
        <w:topLinePunct/>
        <w:rPr>
          <w:rFonts w:ascii="仿宋_GB2312" w:hAnsi="ˎ̥" w:eastAsia="仿宋_GB2312"/>
          <w:szCs w:val="32"/>
        </w:rPr>
      </w:pPr>
      <w:r>
        <w:rPr>
          <w:rFonts w:hint="eastAsia" w:ascii="仿宋_GB2312" w:hAnsi="ˎ̥" w:eastAsia="仿宋_GB2312"/>
          <w:b/>
          <w:szCs w:val="32"/>
        </w:rPr>
        <w:t>因公出国（境）费</w:t>
      </w:r>
      <w:r>
        <w:rPr>
          <w:rFonts w:hint="eastAsia" w:ascii="仿宋_GB2312" w:hAnsi="ˎ̥" w:eastAsia="仿宋_GB2312"/>
          <w:szCs w:val="32"/>
        </w:rPr>
        <w:t>支出</w:t>
      </w:r>
      <w:r>
        <w:rPr>
          <w:rFonts w:ascii="仿宋_GB2312" w:hAnsi="ˎ̥" w:eastAsia="仿宋_GB2312"/>
          <w:szCs w:val="32"/>
        </w:rPr>
        <w:t>0.00</w:t>
      </w:r>
      <w:r>
        <w:rPr>
          <w:rFonts w:hint="eastAsia" w:ascii="仿宋_GB2312" w:hAnsi="ˎ̥" w:eastAsia="仿宋_GB2312"/>
          <w:szCs w:val="32"/>
        </w:rPr>
        <w:t>万元。</w:t>
      </w:r>
    </w:p>
    <w:p>
      <w:pPr>
        <w:kinsoku w:val="0"/>
        <w:topLinePunct/>
        <w:ind w:firstLine="640" w:firstLineChars="200"/>
        <w:rPr>
          <w:rFonts w:eastAsia="仿宋_GB2312"/>
          <w:szCs w:val="32"/>
        </w:rPr>
      </w:pPr>
      <w:r>
        <w:rPr>
          <w:rFonts w:hint="eastAsia" w:eastAsia="仿宋_GB2312"/>
          <w:szCs w:val="32"/>
        </w:rPr>
        <w:t>无</w:t>
      </w:r>
      <w:r>
        <w:rPr>
          <w:rFonts w:eastAsia="仿宋_GB2312"/>
          <w:szCs w:val="32"/>
        </w:rPr>
        <w:t>因公出国（境）费支出决算</w:t>
      </w:r>
      <w:r>
        <w:rPr>
          <w:rFonts w:hint="eastAsia" w:eastAsia="仿宋_GB2312"/>
          <w:szCs w:val="32"/>
        </w:rPr>
        <w:t>数</w:t>
      </w:r>
      <w:r>
        <w:rPr>
          <w:rFonts w:eastAsia="仿宋_GB2312"/>
          <w:szCs w:val="32"/>
        </w:rPr>
        <w:t>。</w:t>
      </w:r>
    </w:p>
    <w:p>
      <w:pPr>
        <w:kinsoku w:val="0"/>
        <w:topLinePunct/>
        <w:rPr>
          <w:rFonts w:ascii="仿宋_GB2312" w:hAnsi="ˎ̥" w:eastAsia="仿宋_GB2312"/>
          <w:szCs w:val="32"/>
        </w:rPr>
      </w:pPr>
      <w:r>
        <w:rPr>
          <w:rFonts w:hint="eastAsia" w:ascii="仿宋_GB2312" w:hAnsi="ˎ̥" w:eastAsia="仿宋_GB2312"/>
          <w:b/>
          <w:szCs w:val="32"/>
        </w:rPr>
        <w:t xml:space="preserve">    2.公务用车购置及运行维护费支出</w:t>
      </w:r>
      <w:r>
        <w:rPr>
          <w:rFonts w:hint="eastAsia" w:ascii="仿宋_GB2312" w:hAnsi="ˎ̥" w:eastAsia="仿宋_GB2312"/>
          <w:szCs w:val="32"/>
        </w:rPr>
        <w:t>6.24万元。其中：</w:t>
      </w:r>
    </w:p>
    <w:p>
      <w:pPr>
        <w:kinsoku w:val="0"/>
        <w:topLinePunct/>
        <w:ind w:firstLine="643" w:firstLineChars="200"/>
        <w:rPr>
          <w:rFonts w:ascii="仿宋_GB2312" w:hAnsi="ˎ̥" w:eastAsia="仿宋_GB2312"/>
          <w:szCs w:val="32"/>
        </w:rPr>
      </w:pPr>
      <w:r>
        <w:rPr>
          <w:rFonts w:hint="eastAsia" w:ascii="仿宋_GB2312" w:hAnsi="ˎ̥" w:eastAsia="仿宋_GB2312"/>
          <w:b/>
          <w:szCs w:val="32"/>
        </w:rPr>
        <w:t>公务用车购置支出</w:t>
      </w:r>
      <w:r>
        <w:rPr>
          <w:rFonts w:ascii="仿宋_GB2312" w:hAnsi="ˎ̥" w:eastAsia="仿宋_GB2312"/>
          <w:szCs w:val="32"/>
        </w:rPr>
        <w:t>0.00</w:t>
      </w:r>
      <w:r>
        <w:rPr>
          <w:rFonts w:hint="eastAsia" w:ascii="仿宋_GB2312" w:hAnsi="ˎ̥" w:eastAsia="仿宋_GB2312"/>
          <w:szCs w:val="32"/>
        </w:rPr>
        <w:t>万元，全年购置公务用车0辆，年末公务用车保有量0辆。</w:t>
      </w:r>
    </w:p>
    <w:p>
      <w:pPr>
        <w:kinsoku w:val="0"/>
        <w:topLinePunct/>
        <w:ind w:firstLine="643" w:firstLineChars="200"/>
        <w:rPr>
          <w:rFonts w:ascii="仿宋_GB2312" w:hAnsi="ˎ̥" w:eastAsia="仿宋_GB2312"/>
          <w:szCs w:val="32"/>
        </w:rPr>
      </w:pPr>
      <w:r>
        <w:rPr>
          <w:rFonts w:hint="eastAsia" w:ascii="仿宋_GB2312" w:hAnsi="ˎ̥" w:eastAsia="仿宋_GB2312"/>
          <w:b/>
          <w:szCs w:val="32"/>
        </w:rPr>
        <w:t>公务用车运行维护费</w:t>
      </w:r>
      <w:r>
        <w:rPr>
          <w:rFonts w:hint="eastAsia" w:ascii="仿宋_GB2312" w:hAnsi="ˎ̥" w:eastAsia="仿宋_GB2312"/>
          <w:szCs w:val="32"/>
        </w:rPr>
        <w:t>支出6.24万元，主要用于</w:t>
      </w:r>
      <w:r>
        <w:rPr>
          <w:rFonts w:hint="eastAsia" w:ascii="仿宋_GB2312" w:hAnsi="ˎ̥" w:eastAsia="仿宋_GB2312"/>
          <w:bCs/>
          <w:szCs w:val="32"/>
        </w:rPr>
        <w:t>公务用车维修费、保养费、保险费、油料费</w:t>
      </w:r>
    </w:p>
    <w:p>
      <w:pPr>
        <w:kinsoku w:val="0"/>
        <w:topLinePunct/>
        <w:rPr>
          <w:rFonts w:eastAsia="仿宋_GB2312"/>
          <w:szCs w:val="32"/>
        </w:rPr>
      </w:pPr>
      <w:r>
        <w:rPr>
          <w:rFonts w:eastAsia="仿宋_GB2312"/>
          <w:b/>
          <w:szCs w:val="32"/>
        </w:rPr>
        <w:t xml:space="preserve"> 3.公务接待费支出</w:t>
      </w:r>
      <w:r>
        <w:rPr>
          <w:rFonts w:eastAsia="仿宋_GB2312"/>
          <w:szCs w:val="32"/>
        </w:rPr>
        <w:t>0.00万元，其中：</w:t>
      </w:r>
    </w:p>
    <w:p>
      <w:pPr>
        <w:kinsoku w:val="0"/>
        <w:topLinePunct/>
        <w:ind w:firstLine="643" w:firstLineChars="200"/>
        <w:rPr>
          <w:rFonts w:eastAsia="仿宋_GB2312"/>
          <w:szCs w:val="32"/>
        </w:rPr>
      </w:pPr>
      <w:r>
        <w:rPr>
          <w:rFonts w:eastAsia="仿宋_GB2312"/>
          <w:b/>
          <w:szCs w:val="32"/>
        </w:rPr>
        <w:t>国内接待费</w:t>
      </w:r>
      <w:r>
        <w:rPr>
          <w:rFonts w:eastAsia="仿宋_GB2312"/>
          <w:szCs w:val="32"/>
        </w:rPr>
        <w:t>支出</w:t>
      </w:r>
      <w:r>
        <w:rPr>
          <w:rFonts w:hint="eastAsia" w:eastAsia="仿宋_GB2312"/>
          <w:szCs w:val="32"/>
        </w:rPr>
        <w:t>0.00</w:t>
      </w:r>
      <w:r>
        <w:rPr>
          <w:rFonts w:eastAsia="仿宋_GB2312"/>
          <w:szCs w:val="32"/>
        </w:rPr>
        <w:t>万元，国内公务接待</w:t>
      </w:r>
      <w:r>
        <w:rPr>
          <w:rFonts w:hint="eastAsia" w:eastAsia="仿宋_GB2312"/>
          <w:szCs w:val="32"/>
        </w:rPr>
        <w:t>0</w:t>
      </w:r>
      <w:r>
        <w:rPr>
          <w:rFonts w:eastAsia="仿宋_GB2312"/>
          <w:szCs w:val="32"/>
        </w:rPr>
        <w:t>批次，接待</w:t>
      </w:r>
      <w:r>
        <w:rPr>
          <w:rFonts w:hint="eastAsia" w:eastAsia="仿宋_GB2312"/>
          <w:szCs w:val="32"/>
        </w:rPr>
        <w:t>0</w:t>
      </w:r>
      <w:r>
        <w:rPr>
          <w:rFonts w:eastAsia="仿宋_GB2312"/>
          <w:szCs w:val="32"/>
        </w:rPr>
        <w:t>人次</w:t>
      </w:r>
    </w:p>
    <w:p>
      <w:pPr>
        <w:kinsoku w:val="0"/>
        <w:topLinePunct/>
        <w:ind w:firstLine="640" w:firstLineChars="200"/>
        <w:rPr>
          <w:rFonts w:eastAsia="仿宋_GB2312"/>
          <w:szCs w:val="32"/>
        </w:rPr>
      </w:pPr>
      <w:r>
        <w:rPr>
          <w:rFonts w:hint="eastAsia" w:eastAsia="仿宋_GB2312"/>
          <w:szCs w:val="32"/>
        </w:rPr>
        <w:t>4.</w:t>
      </w:r>
      <w:r>
        <w:rPr>
          <w:rFonts w:eastAsia="仿宋_GB2312"/>
          <w:b/>
          <w:bCs/>
          <w:szCs w:val="32"/>
        </w:rPr>
        <w:t>（境）外接待费</w:t>
      </w:r>
      <w:r>
        <w:rPr>
          <w:rFonts w:eastAsia="仿宋_GB2312"/>
          <w:szCs w:val="32"/>
        </w:rPr>
        <w:t>支出</w:t>
      </w:r>
      <w:r>
        <w:rPr>
          <w:rFonts w:hint="eastAsia" w:eastAsia="仿宋_GB2312"/>
          <w:szCs w:val="32"/>
        </w:rPr>
        <w:t>0.00</w:t>
      </w:r>
      <w:r>
        <w:rPr>
          <w:rFonts w:eastAsia="仿宋_GB2312"/>
          <w:szCs w:val="32"/>
        </w:rPr>
        <w:t>万元，国（境）外公务接待</w:t>
      </w:r>
      <w:r>
        <w:rPr>
          <w:rFonts w:hint="eastAsia" w:eastAsia="仿宋_GB2312"/>
          <w:szCs w:val="32"/>
        </w:rPr>
        <w:t>0</w:t>
      </w:r>
      <w:r>
        <w:rPr>
          <w:rFonts w:eastAsia="仿宋_GB2312"/>
          <w:szCs w:val="32"/>
        </w:rPr>
        <w:t>批次，接待</w:t>
      </w:r>
      <w:r>
        <w:rPr>
          <w:rFonts w:hint="eastAsia" w:eastAsia="仿宋_GB2312"/>
          <w:szCs w:val="32"/>
        </w:rPr>
        <w:t>0</w:t>
      </w:r>
      <w:r>
        <w:rPr>
          <w:rFonts w:eastAsia="仿宋_GB2312"/>
          <w:szCs w:val="32"/>
        </w:rPr>
        <w:t>人次。</w:t>
      </w:r>
    </w:p>
    <w:p>
      <w:pPr>
        <w:kinsoku w:val="0"/>
        <w:topLinePunct/>
        <w:rPr>
          <w:rFonts w:ascii="黑体" w:hAnsi="黑体" w:eastAsia="黑体" w:cs="黑体"/>
          <w:bCs/>
          <w:szCs w:val="32"/>
        </w:rPr>
      </w:pPr>
      <w:r>
        <w:rPr>
          <w:rFonts w:hint="eastAsia" w:ascii="黑体" w:hAnsi="黑体" w:eastAsia="黑体" w:cs="黑体"/>
          <w:bCs/>
          <w:szCs w:val="32"/>
        </w:rPr>
        <w:t>十、预算绩效情况说明</w:t>
      </w:r>
    </w:p>
    <w:p>
      <w:pPr>
        <w:kinsoku w:val="0"/>
        <w:topLinePunct/>
        <w:ind w:firstLine="640" w:firstLineChars="200"/>
        <w:rPr>
          <w:rFonts w:ascii="楷体" w:hAnsi="楷体" w:eastAsia="楷体" w:cs="楷体"/>
          <w:bCs/>
          <w:szCs w:val="32"/>
        </w:rPr>
      </w:pPr>
      <w:r>
        <w:rPr>
          <w:rFonts w:hint="eastAsia" w:ascii="楷体" w:hAnsi="楷体" w:eastAsia="楷体" w:cs="楷体"/>
          <w:bCs/>
          <w:szCs w:val="32"/>
        </w:rPr>
        <w:t>（一）绩效管理工作开展情况。</w:t>
      </w:r>
    </w:p>
    <w:p>
      <w:pPr>
        <w:kinsoku w:val="0"/>
        <w:topLinePunct/>
        <w:ind w:firstLine="643" w:firstLineChars="200"/>
        <w:rPr>
          <w:rFonts w:ascii="仿宋_GB2312" w:hAnsi="ˎ̥" w:eastAsia="仿宋_GB2312"/>
          <w:szCs w:val="32"/>
        </w:rPr>
      </w:pPr>
      <w:r>
        <w:rPr>
          <w:rFonts w:hint="eastAsia" w:ascii="仿宋_GB2312" w:hAnsi="ˎ̥" w:eastAsia="仿宋_GB2312"/>
          <w:b/>
          <w:bCs/>
          <w:szCs w:val="32"/>
        </w:rPr>
        <w:t>1.资金支出情况。</w:t>
      </w:r>
      <w:r>
        <w:rPr>
          <w:rFonts w:hint="eastAsia" w:ascii="仿宋_GB2312" w:hAnsi="ˎ̥" w:eastAsia="仿宋_GB2312"/>
          <w:szCs w:val="32"/>
        </w:rPr>
        <w:t>县委宣传部2025年预算资金均按照县财政局要求及相关政策性文件支出，规范资金支出管理。</w:t>
      </w:r>
    </w:p>
    <w:p>
      <w:pPr>
        <w:kinsoku w:val="0"/>
        <w:topLinePunct/>
        <w:ind w:firstLine="643" w:firstLineChars="200"/>
        <w:rPr>
          <w:rFonts w:ascii="仿宋_GB2312" w:hAnsi="ˎ̥" w:eastAsia="仿宋_GB2312"/>
          <w:szCs w:val="32"/>
        </w:rPr>
      </w:pPr>
      <w:r>
        <w:rPr>
          <w:rFonts w:hint="eastAsia" w:ascii="仿宋_GB2312" w:hAnsi="ˎ̥" w:eastAsia="仿宋_GB2312"/>
          <w:b/>
          <w:bCs/>
          <w:szCs w:val="32"/>
        </w:rPr>
        <w:t>2.绩效自评工作开展情况。</w:t>
      </w:r>
      <w:r>
        <w:rPr>
          <w:rFonts w:hint="eastAsia" w:ascii="仿宋_GB2312" w:hAnsi="ˎ̥" w:eastAsia="仿宋_GB2312"/>
          <w:szCs w:val="32"/>
        </w:rPr>
        <w:t>为规范县委宣传部预算绩效管理制度，根据县财政局和上级工作要求，</w:t>
      </w:r>
      <w:r>
        <w:rPr>
          <w:rFonts w:hint="eastAsia" w:ascii="仿宋_GB2312" w:hAnsi="ˎ̥" w:eastAsia="仿宋_GB2312"/>
          <w:b/>
          <w:bCs/>
          <w:szCs w:val="32"/>
        </w:rPr>
        <w:t>一是</w:t>
      </w:r>
      <w:r>
        <w:rPr>
          <w:rFonts w:hint="eastAsia" w:ascii="仿宋_GB2312" w:hAnsi="ˎ̥" w:eastAsia="仿宋_GB2312"/>
          <w:szCs w:val="32"/>
        </w:rPr>
        <w:t>压实各科室工作职责，确保及时完成预算支出目标任务；</w:t>
      </w:r>
      <w:r>
        <w:rPr>
          <w:rFonts w:hint="eastAsia" w:ascii="仿宋_GB2312" w:hAnsi="ˎ̥" w:eastAsia="仿宋_GB2312"/>
          <w:b/>
          <w:bCs/>
          <w:szCs w:val="32"/>
        </w:rPr>
        <w:t>二是</w:t>
      </w:r>
      <w:r>
        <w:rPr>
          <w:rFonts w:hint="eastAsia" w:ascii="仿宋_GB2312" w:hAnsi="ˎ̥" w:eastAsia="仿宋_GB2312"/>
          <w:szCs w:val="32"/>
        </w:rPr>
        <w:t>定期向各科室督促并公开资金支出进度、剩余资金额度，严格审核报销材料，进一步规范绩效工作制度。</w:t>
      </w:r>
    </w:p>
    <w:p>
      <w:pPr>
        <w:kinsoku w:val="0"/>
        <w:topLinePunct/>
        <w:ind w:firstLine="640" w:firstLineChars="200"/>
        <w:rPr>
          <w:rFonts w:ascii="黑体" w:hAnsi="黑体" w:eastAsia="黑体" w:cs="黑体"/>
          <w:bCs/>
          <w:szCs w:val="32"/>
        </w:rPr>
      </w:pPr>
      <w:r>
        <w:rPr>
          <w:rFonts w:hint="eastAsia" w:ascii="黑体" w:hAnsi="黑体" w:eastAsia="黑体" w:cs="黑体"/>
          <w:bCs/>
          <w:szCs w:val="32"/>
        </w:rPr>
        <w:t>十一、其他重要事项情况说明</w:t>
      </w:r>
    </w:p>
    <w:p>
      <w:pPr>
        <w:numPr>
          <w:ilvl w:val="0"/>
          <w:numId w:val="2"/>
        </w:numPr>
        <w:kinsoku w:val="0"/>
        <w:topLinePunct/>
        <w:rPr>
          <w:rFonts w:ascii="楷体" w:hAnsi="楷体" w:eastAsia="楷体" w:cs="楷体"/>
          <w:bCs/>
          <w:szCs w:val="32"/>
        </w:rPr>
      </w:pPr>
      <w:bookmarkStart w:id="94" w:name="_Toc15565_WPSOffice_Level2"/>
      <w:bookmarkStart w:id="95" w:name="_Toc15262_WPSOffice_Level2"/>
      <w:bookmarkStart w:id="96" w:name="_Toc32639_WPSOffice_Level2"/>
      <w:bookmarkStart w:id="97" w:name="_Toc18325_WPSOffice_Level2"/>
      <w:bookmarkStart w:id="98" w:name="_Toc23598_WPSOffice_Level2"/>
      <w:bookmarkStart w:id="99" w:name="_Toc5978_WPSOffice_Level2"/>
      <w:r>
        <w:rPr>
          <w:rFonts w:hint="eastAsia" w:ascii="楷体" w:hAnsi="楷体" w:eastAsia="楷体" w:cs="楷体"/>
          <w:bCs/>
          <w:szCs w:val="32"/>
        </w:rPr>
        <w:t>机关运行经费支出情况。</w:t>
      </w:r>
      <w:bookmarkEnd w:id="94"/>
      <w:bookmarkEnd w:id="95"/>
      <w:bookmarkEnd w:id="96"/>
      <w:bookmarkEnd w:id="97"/>
      <w:bookmarkEnd w:id="98"/>
      <w:bookmarkEnd w:id="99"/>
    </w:p>
    <w:p>
      <w:pPr>
        <w:kinsoku w:val="0"/>
        <w:topLinePunct/>
        <w:ind w:firstLine="640" w:firstLineChars="200"/>
        <w:rPr>
          <w:rFonts w:ascii="楷体" w:hAnsi="楷体" w:eastAsia="楷体" w:cs="楷体"/>
          <w:bCs/>
          <w:szCs w:val="32"/>
        </w:rPr>
      </w:pPr>
      <w:r>
        <w:rPr>
          <w:rFonts w:hint="eastAsia" w:ascii="仿宋_GB2312" w:hAnsi="ˎ̥" w:eastAsia="仿宋_GB2312"/>
          <w:szCs w:val="32"/>
        </w:rPr>
        <w:t>2025年度比如县委宣传部“乡村振兴 那曲奋进”活动经费100万元，未增加预算资金，降低活动陈本，落实过紧日子要求。</w:t>
      </w:r>
    </w:p>
    <w:p>
      <w:pPr>
        <w:numPr>
          <w:ilvl w:val="0"/>
          <w:numId w:val="2"/>
        </w:numPr>
        <w:kinsoku w:val="0"/>
        <w:topLinePunct/>
        <w:rPr>
          <w:rFonts w:eastAsia="楷体"/>
          <w:bCs/>
          <w:szCs w:val="32"/>
        </w:rPr>
      </w:pPr>
      <w:r>
        <w:rPr>
          <w:rFonts w:eastAsia="楷体"/>
          <w:bCs/>
          <w:szCs w:val="32"/>
        </w:rPr>
        <w:t>政府采购支出情况。</w:t>
      </w:r>
    </w:p>
    <w:p>
      <w:pPr>
        <w:kinsoku w:val="0"/>
        <w:topLinePunct/>
        <w:ind w:firstLine="640" w:firstLineChars="200"/>
        <w:jc w:val="left"/>
        <w:rPr>
          <w:rFonts w:ascii="Times New Roman" w:hAnsi="Times New Roman" w:eastAsia="黑体" w:cs="Times New Roman"/>
          <w:szCs w:val="32"/>
        </w:rPr>
      </w:pPr>
      <w:r>
        <w:rPr>
          <w:rFonts w:ascii="Times New Roman" w:hAnsi="Times New Roman" w:eastAsia="仿宋_GB2312" w:cs="Times New Roman"/>
          <w:szCs w:val="32"/>
        </w:rPr>
        <w:t>2025年度县委宣传部政府采购支出总额5万元。</w:t>
      </w:r>
      <w:bookmarkStart w:id="100" w:name="_Toc15425_WPSOffice_Level1"/>
      <w:bookmarkStart w:id="101" w:name="_Toc17580_WPSOffice_Level1"/>
      <w:bookmarkStart w:id="102" w:name="_Toc11039_WPSOffice_Level1"/>
      <w:bookmarkStart w:id="103" w:name="_Toc8808_WPSOffice_Level1"/>
      <w:bookmarkStart w:id="104" w:name="_Toc8874_WPSOffice_Level1"/>
      <w:bookmarkStart w:id="105" w:name="_Toc4398_WPSOffice_Level1"/>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hint="eastAsia" w:ascii="黑体" w:hAnsi="ˎ̥" w:eastAsia="黑体"/>
          <w:szCs w:val="32"/>
        </w:rPr>
      </w:pPr>
    </w:p>
    <w:p>
      <w:pPr>
        <w:kinsoku w:val="0"/>
        <w:topLinePunct/>
        <w:jc w:val="center"/>
        <w:rPr>
          <w:rFonts w:ascii="黑体" w:hAnsi="ˎ̥" w:eastAsia="黑体"/>
          <w:szCs w:val="32"/>
        </w:rPr>
      </w:pPr>
      <w:r>
        <w:rPr>
          <w:rFonts w:hint="eastAsia" w:ascii="黑体" w:hAnsi="ˎ̥" w:eastAsia="黑体"/>
          <w:szCs w:val="32"/>
        </w:rPr>
        <w:t>第四部分  名词解释</w:t>
      </w:r>
      <w:bookmarkEnd w:id="100"/>
      <w:bookmarkEnd w:id="101"/>
      <w:bookmarkEnd w:id="102"/>
      <w:bookmarkEnd w:id="103"/>
      <w:bookmarkEnd w:id="104"/>
      <w:bookmarkEnd w:id="105"/>
    </w:p>
    <w:p>
      <w:pPr>
        <w:numPr>
          <w:ilvl w:val="0"/>
          <w:numId w:val="3"/>
        </w:numPr>
        <w:kinsoku w:val="0"/>
        <w:topLinePunct/>
        <w:jc w:val="center"/>
        <w:rPr>
          <w:rFonts w:ascii="仿宋_GB2312" w:hAnsi="ˎ̥" w:eastAsia="仿宋_GB2312"/>
          <w:szCs w:val="32"/>
        </w:rPr>
      </w:pPr>
      <w:r>
        <w:rPr>
          <w:rFonts w:hint="eastAsia" w:ascii="仿宋_GB2312" w:hAnsi="ˎ̥" w:eastAsia="仿宋_GB2312"/>
          <w:szCs w:val="32"/>
        </w:rPr>
        <w:t>财政拨款收入：指同级政府财政部门当年拨付的各类</w:t>
      </w:r>
    </w:p>
    <w:p>
      <w:pPr>
        <w:kinsoku w:val="0"/>
        <w:topLinePunct/>
        <w:rPr>
          <w:rFonts w:ascii="仿宋_GB2312" w:hAnsi="ˎ̥" w:eastAsia="仿宋_GB2312"/>
          <w:szCs w:val="32"/>
        </w:rPr>
      </w:pPr>
      <w:r>
        <w:rPr>
          <w:rFonts w:hint="eastAsia" w:ascii="仿宋_GB2312" w:hAnsi="ˎ̥" w:eastAsia="仿宋_GB2312"/>
          <w:szCs w:val="32"/>
        </w:rPr>
        <w:t>财政拨款。</w:t>
      </w:r>
    </w:p>
    <w:p>
      <w:pPr>
        <w:kinsoku w:val="0"/>
        <w:topLinePunct/>
        <w:ind w:firstLine="640" w:firstLineChars="200"/>
        <w:rPr>
          <w:rFonts w:ascii="仿宋_GB2312" w:hAnsi="ˎ̥" w:eastAsia="仿宋_GB2312"/>
          <w:szCs w:val="32"/>
        </w:rPr>
      </w:pPr>
      <w:r>
        <w:rPr>
          <w:rFonts w:hint="eastAsia" w:ascii="仿宋_GB2312" w:hAnsi="ˎ̥" w:eastAsia="仿宋_GB2312"/>
          <w:szCs w:val="32"/>
        </w:rPr>
        <w:t>二、上级补助收入：指事业单位从主管部门和上级单位取得的非财政补助收入。</w:t>
      </w:r>
    </w:p>
    <w:p>
      <w:pPr>
        <w:kinsoku w:val="0"/>
        <w:topLinePunct/>
        <w:ind w:firstLine="640" w:firstLineChars="200"/>
        <w:rPr>
          <w:rFonts w:ascii="仿宋_GB2312" w:hAnsi="ˎ̥" w:eastAsia="仿宋_GB2312"/>
          <w:szCs w:val="32"/>
        </w:rPr>
      </w:pPr>
      <w:r>
        <w:rPr>
          <w:rFonts w:hint="eastAsia" w:ascii="仿宋_GB2312" w:hAnsi="ˎ̥" w:eastAsia="仿宋_GB2312"/>
          <w:szCs w:val="32"/>
        </w:rPr>
        <w:t>三、事业收入：指事业单位开展专业业务活动及辅助活动取得的收入。</w:t>
      </w:r>
    </w:p>
    <w:p>
      <w:pPr>
        <w:kinsoku w:val="0"/>
        <w:topLinePunct/>
        <w:ind w:firstLine="640" w:firstLineChars="200"/>
        <w:rPr>
          <w:rFonts w:ascii="仿宋_GB2312" w:hAnsi="ˎ̥" w:eastAsia="仿宋_GB2312"/>
          <w:szCs w:val="32"/>
        </w:rPr>
      </w:pPr>
      <w:r>
        <w:rPr>
          <w:rFonts w:hint="eastAsia" w:ascii="仿宋_GB2312" w:hAnsi="ˎ̥" w:eastAsia="仿宋_GB2312"/>
          <w:szCs w:val="32"/>
        </w:rPr>
        <w:t>四、经营收入：指事业单位在专业业务活动及其辅助活动之外开展非独立核算经营活动取得的收入。</w:t>
      </w:r>
    </w:p>
    <w:p>
      <w:pPr>
        <w:kinsoku w:val="0"/>
        <w:topLinePunct/>
        <w:ind w:firstLine="640" w:firstLineChars="200"/>
        <w:rPr>
          <w:rFonts w:ascii="仿宋_GB2312" w:hAnsi="ˎ̥" w:eastAsia="仿宋_GB2312"/>
          <w:szCs w:val="32"/>
        </w:rPr>
      </w:pPr>
      <w:r>
        <w:rPr>
          <w:rFonts w:hint="eastAsia" w:ascii="仿宋_GB2312" w:hAnsi="ˎ̥" w:eastAsia="仿宋_GB2312"/>
          <w:szCs w:val="32"/>
        </w:rPr>
        <w:t>五、附属单位上缴收入：指事业单位取得附属独立核算单位根据有关规定上缴的收入。</w:t>
      </w:r>
    </w:p>
    <w:p>
      <w:pPr>
        <w:kinsoku w:val="0"/>
        <w:topLinePunct/>
        <w:ind w:firstLine="640" w:firstLineChars="200"/>
        <w:rPr>
          <w:rFonts w:ascii="仿宋_GB2312" w:hAnsi="ˎ̥" w:eastAsia="仿宋_GB2312"/>
          <w:szCs w:val="32"/>
        </w:rPr>
      </w:pPr>
      <w:r>
        <w:rPr>
          <w:rFonts w:hint="eastAsia" w:ascii="仿宋_GB2312" w:hAnsi="ˎ̥" w:eastAsia="仿宋_GB2312"/>
          <w:szCs w:val="32"/>
        </w:rPr>
        <w:t>六、其他收入：指除上述“财政拨款收入”“事业收入”“上级补助收入”“经营收入”“附属单位上缴收入”等以外的收入。</w:t>
      </w:r>
    </w:p>
    <w:p>
      <w:pPr>
        <w:kinsoku w:val="0"/>
        <w:topLinePunct/>
        <w:ind w:firstLine="640" w:firstLineChars="200"/>
        <w:rPr>
          <w:rFonts w:ascii="仿宋_GB2312" w:hAnsi="ˎ̥" w:eastAsia="仿宋_GB2312"/>
          <w:szCs w:val="32"/>
        </w:rPr>
      </w:pPr>
      <w:r>
        <w:rPr>
          <w:rFonts w:hint="eastAsia" w:ascii="仿宋_GB2312" w:hAnsi="ˎ̥" w:eastAsia="仿宋_GB2312"/>
          <w:szCs w:val="32"/>
        </w:rPr>
        <w:t>七、使用非财政拨款结余：指事业单位在当年的“财政拨款收入”“事业收入”“经营收入”“其他收入”等不足以安排当年支出的情况下，使用非同级财政拨款结余资金弥补本年度收支缺口。</w:t>
      </w:r>
    </w:p>
    <w:p>
      <w:pPr>
        <w:kinsoku w:val="0"/>
        <w:topLinePunct/>
        <w:ind w:firstLine="640" w:firstLineChars="200"/>
        <w:rPr>
          <w:rFonts w:ascii="仿宋_GB2312" w:hAnsi="ˎ̥" w:eastAsia="仿宋_GB2312"/>
          <w:szCs w:val="32"/>
        </w:rPr>
      </w:pPr>
      <w:r>
        <w:rPr>
          <w:rFonts w:hint="eastAsia" w:ascii="仿宋_GB2312" w:hAnsi="ˎ̥" w:eastAsia="仿宋_GB2312"/>
          <w:szCs w:val="32"/>
        </w:rPr>
        <w:t>八、年初结转和结余：指以前年度尚未完成、结转到本年按有关规定继续使用的资金，或项目已完成等产生的结余资金。</w:t>
      </w:r>
    </w:p>
    <w:p>
      <w:pPr>
        <w:kinsoku w:val="0"/>
        <w:topLinePunct/>
        <w:ind w:firstLine="640" w:firstLineChars="200"/>
        <w:rPr>
          <w:rFonts w:ascii="仿宋_GB2312" w:hAnsi="ˎ̥" w:eastAsia="仿宋_GB2312"/>
          <w:szCs w:val="32"/>
        </w:rPr>
      </w:pPr>
      <w:r>
        <w:rPr>
          <w:rFonts w:hint="eastAsia" w:ascii="仿宋_GB2312" w:hAnsi="ˎ̥" w:eastAsia="仿宋_GB2312"/>
          <w:szCs w:val="32"/>
        </w:rPr>
        <w:t>九、结余分配：指事业单位缴纳企业所得税以及从非财政拨款结余或经营结余中提取各类结余的情况。</w:t>
      </w:r>
    </w:p>
    <w:p>
      <w:pPr>
        <w:kinsoku w:val="0"/>
        <w:topLinePunct/>
        <w:ind w:firstLine="640" w:firstLineChars="200"/>
        <w:rPr>
          <w:rFonts w:ascii="仿宋_GB2312" w:hAnsi="ˎ̥" w:eastAsia="仿宋_GB2312"/>
          <w:szCs w:val="32"/>
        </w:rPr>
      </w:pPr>
      <w:r>
        <w:rPr>
          <w:rFonts w:hint="eastAsia" w:ascii="仿宋_GB2312" w:hAnsi="ˎ̥" w:eastAsia="仿宋_GB2312"/>
          <w:szCs w:val="32"/>
        </w:rPr>
        <w:t>十、年末结转和结余：指本年度或以前年度预算安排、因客观条件发生变化无法按原计划实施，需要延迟到以后年度按有关规定继续使用的资金（不包括事业单位非财政拨款结余和专用结余）。</w:t>
      </w:r>
    </w:p>
    <w:p>
      <w:pPr>
        <w:kinsoku w:val="0"/>
        <w:topLinePunct/>
        <w:ind w:firstLine="640" w:firstLineChars="200"/>
        <w:rPr>
          <w:rFonts w:ascii="仿宋_GB2312" w:hAnsi="ˎ̥" w:eastAsia="仿宋_GB2312"/>
          <w:szCs w:val="32"/>
        </w:rPr>
      </w:pPr>
      <w:r>
        <w:rPr>
          <w:rFonts w:hint="eastAsia" w:ascii="仿宋_GB2312" w:hAnsi="ˎ̥" w:eastAsia="仿宋_GB2312"/>
          <w:szCs w:val="32"/>
        </w:rPr>
        <w:t>十一、基本支出：指为保障机构正常运转、完成日常工作任务而发生的人员支出和公用支出。</w:t>
      </w:r>
    </w:p>
    <w:p>
      <w:pPr>
        <w:kinsoku w:val="0"/>
        <w:topLinePunct/>
        <w:ind w:firstLine="640" w:firstLineChars="200"/>
        <w:rPr>
          <w:rFonts w:ascii="仿宋_GB2312" w:hAnsi="ˎ̥" w:eastAsia="仿宋_GB2312"/>
          <w:szCs w:val="32"/>
        </w:rPr>
      </w:pPr>
      <w:r>
        <w:rPr>
          <w:rFonts w:hint="eastAsia" w:ascii="仿宋_GB2312" w:hAnsi="ˎ̥" w:eastAsia="仿宋_GB2312"/>
          <w:szCs w:val="32"/>
        </w:rPr>
        <w:t>十二、项目支出：指在基本支出之外为完成特定行政任务和事业发展目标所发生的支出。</w:t>
      </w:r>
    </w:p>
    <w:p>
      <w:pPr>
        <w:kinsoku w:val="0"/>
        <w:topLinePunct/>
        <w:ind w:firstLine="640" w:firstLineChars="200"/>
        <w:rPr>
          <w:rFonts w:ascii="仿宋_GB2312" w:hAnsi="ˎ̥" w:eastAsia="仿宋_GB2312"/>
          <w:szCs w:val="32"/>
        </w:rPr>
      </w:pPr>
      <w:r>
        <w:rPr>
          <w:rFonts w:hint="eastAsia" w:ascii="仿宋_GB2312" w:hAnsi="ˎ̥" w:eastAsia="仿宋_GB2312"/>
          <w:szCs w:val="32"/>
        </w:rPr>
        <w:t>十三、经营支出：指事业单位在专业业务活动及其辅助活动之外开展非独立核算经营活动发生的支出。</w:t>
      </w:r>
    </w:p>
    <w:p>
      <w:pPr>
        <w:kinsoku w:val="0"/>
        <w:topLinePunct/>
        <w:ind w:firstLine="640" w:firstLineChars="200"/>
        <w:rPr>
          <w:rFonts w:ascii="仿宋_GB2312" w:hAnsi="ˎ̥" w:eastAsia="仿宋_GB2312"/>
          <w:szCs w:val="32"/>
        </w:rPr>
      </w:pPr>
      <w:r>
        <w:rPr>
          <w:rFonts w:hint="eastAsia" w:ascii="仿宋_GB2312" w:hAnsi="ˎ̥" w:eastAsia="仿宋_GB2312"/>
          <w:szCs w:val="32"/>
        </w:rPr>
        <w:t>十四、“三公”经费：纳入本级财政预决算管理的“三公”经费，是指用一般公共预算财政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insoku w:val="0"/>
        <w:topLinePunct/>
        <w:ind w:firstLine="645"/>
        <w:rPr>
          <w:rFonts w:ascii="仿宋_GB2312" w:hAnsi="ˎ̥" w:eastAsia="仿宋_GB2312"/>
          <w:szCs w:val="32"/>
        </w:rPr>
      </w:pPr>
      <w:r>
        <w:rPr>
          <w:rFonts w:hint="eastAsia" w:ascii="仿宋_GB2312" w:hAnsi="ˎ̥" w:eastAsia="仿宋_GB2312"/>
          <w:szCs w:val="32"/>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insoku w:val="0"/>
        <w:topLinePunct/>
        <w:ind w:firstLine="645"/>
        <w:rPr>
          <w:rFonts w:ascii="仿宋_GB2312" w:hAnsi="ˎ̥" w:eastAsia="仿宋_GB2312"/>
          <w:szCs w:val="32"/>
        </w:rPr>
      </w:pPr>
      <w:r>
        <w:rPr>
          <w:rFonts w:hint="eastAsia" w:ascii="仿宋_GB2312" w:hAnsi="ˎ̥" w:eastAsia="仿宋_GB2312"/>
          <w:szCs w:val="32"/>
        </w:rPr>
        <w:t>（注</w:t>
      </w:r>
      <w:r>
        <w:rPr>
          <w:rFonts w:ascii="仿宋_GB2312" w:hAnsi="ˎ̥" w:eastAsia="仿宋_GB2312"/>
          <w:szCs w:val="32"/>
        </w:rPr>
        <w:t>：</w:t>
      </w:r>
      <w:r>
        <w:rPr>
          <w:rFonts w:hint="eastAsia" w:ascii="仿宋_GB2312" w:hAnsi="ˎ̥" w:eastAsia="仿宋_GB2312"/>
          <w:szCs w:val="32"/>
        </w:rPr>
        <w:t>支出功能分类的名词解释，各部门（单位）根据实际支出情况填列，可参阅财政部印发的《2025年政府收支分类科目》）</w:t>
      </w:r>
    </w:p>
    <w:p>
      <w:pPr>
        <w:kinsoku w:val="0"/>
        <w:topLinePunct/>
        <w:ind w:firstLine="645"/>
        <w:rPr>
          <w:rFonts w:ascii="仿宋_GB2312" w:hAnsi="ˎ̥" w:eastAsia="仿宋_GB2312"/>
          <w:szCs w:val="32"/>
        </w:rPr>
      </w:pPr>
      <w:r>
        <w:rPr>
          <w:rFonts w:hint="eastAsia" w:ascii="仿宋_GB2312" w:hAnsi="ˎ̥" w:eastAsia="仿宋_GB2312"/>
          <w:szCs w:val="32"/>
        </w:rPr>
        <w:t>……</w:t>
      </w:r>
    </w:p>
    <w:p>
      <w:pPr>
        <w:kinsoku w:val="0"/>
        <w:topLinePunct/>
      </w:pPr>
    </w:p>
    <w:p>
      <w:pPr>
        <w:widowControl w:val="0"/>
        <w:overflowPunct w:val="0"/>
        <w:adjustRightInd/>
        <w:snapToGrid/>
        <w:spacing w:after="0" w:line="560" w:lineRule="exact"/>
        <w:jc w:val="center"/>
        <w:rPr>
          <w:rFonts w:ascii="Nimbus Roman" w:hAnsi="Nimbus Roman" w:eastAsia="方正仿宋_GBK" w:cs="Nimbus Roman"/>
          <w:szCs w:val="32"/>
        </w:rPr>
      </w:pPr>
    </w:p>
    <w:sectPr>
      <w:footerReference r:id="rId5" w:type="default"/>
      <w:pgSz w:w="11906" w:h="16838"/>
      <w:pgMar w:top="2098" w:right="1474" w:bottom="1985" w:left="1588" w:header="851" w:footer="992" w:gutter="0"/>
      <w:cols w:space="0" w:num="1"/>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ˎ̥">
    <w:altName w:val="Arial Unicode MS"/>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Nimbus Roman">
    <w:altName w:val="Arial Unicode MS"/>
    <w:panose1 w:val="00000000000000000000"/>
    <w:charset w:val="00"/>
    <w:family w:val="auto"/>
    <w:pitch w:val="default"/>
    <w:sig w:usb0="00000000" w:usb1="00000000" w:usb2="00000000" w:usb3="00000000" w:csb0="6000009F" w:csb1="00000000"/>
  </w:font>
  <w:font w:name="方正仿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path/>
          <v:fill on="f" focussize="0,0"/>
          <v:stroke on="f" weight="0.5pt" joinstyle="miter"/>
          <v:imagedata o:title=""/>
          <o:lock v:ext="edit"/>
          <v:textbox inset="0mm,0mm,0mm,0mm" style="mso-fit-shape-to-text:t;">
            <w:txbxContent>
              <w:p>
                <w:pPr>
                  <w:pStyle w:val="8"/>
                </w:pPr>
                <w: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10206"/>
    <w:multiLevelType w:val="multilevel"/>
    <w:tmpl w:val="0BD10206"/>
    <w:lvl w:ilvl="0" w:tentative="0">
      <w:start w:val="1"/>
      <w:numFmt w:val="japaneseCounting"/>
      <w:lvlText w:val="%1、"/>
      <w:lvlJc w:val="left"/>
      <w:pPr>
        <w:ind w:left="1365" w:hanging="720"/>
      </w:pPr>
      <w:rPr>
        <w:rFonts w:hint="default"/>
      </w:rPr>
    </w:lvl>
    <w:lvl w:ilvl="1" w:tentative="0">
      <w:start w:val="1"/>
      <w:numFmt w:val="lowerLetter"/>
      <w:lvlText w:val="%2)"/>
      <w:lvlJc w:val="left"/>
      <w:pPr>
        <w:ind w:left="1485" w:hanging="420"/>
      </w:pPr>
    </w:lvl>
    <w:lvl w:ilvl="2" w:tentative="0">
      <w:start w:val="1"/>
      <w:numFmt w:val="lowerRoman"/>
      <w:lvlText w:val="%3."/>
      <w:lvlJc w:val="right"/>
      <w:pPr>
        <w:ind w:left="1905" w:hanging="420"/>
      </w:pPr>
    </w:lvl>
    <w:lvl w:ilvl="3" w:tentative="0">
      <w:start w:val="1"/>
      <w:numFmt w:val="decimal"/>
      <w:lvlText w:val="%4."/>
      <w:lvlJc w:val="left"/>
      <w:pPr>
        <w:ind w:left="2325" w:hanging="420"/>
      </w:pPr>
    </w:lvl>
    <w:lvl w:ilvl="4" w:tentative="0">
      <w:start w:val="1"/>
      <w:numFmt w:val="lowerLetter"/>
      <w:lvlText w:val="%5)"/>
      <w:lvlJc w:val="left"/>
      <w:pPr>
        <w:ind w:left="2745" w:hanging="420"/>
      </w:pPr>
    </w:lvl>
    <w:lvl w:ilvl="5" w:tentative="0">
      <w:start w:val="1"/>
      <w:numFmt w:val="lowerRoman"/>
      <w:lvlText w:val="%6."/>
      <w:lvlJc w:val="right"/>
      <w:pPr>
        <w:ind w:left="3165" w:hanging="420"/>
      </w:pPr>
    </w:lvl>
    <w:lvl w:ilvl="6" w:tentative="0">
      <w:start w:val="1"/>
      <w:numFmt w:val="decimal"/>
      <w:lvlText w:val="%7."/>
      <w:lvlJc w:val="left"/>
      <w:pPr>
        <w:ind w:left="3585" w:hanging="420"/>
      </w:pPr>
    </w:lvl>
    <w:lvl w:ilvl="7" w:tentative="0">
      <w:start w:val="1"/>
      <w:numFmt w:val="lowerLetter"/>
      <w:lvlText w:val="%8)"/>
      <w:lvlJc w:val="left"/>
      <w:pPr>
        <w:ind w:left="4005" w:hanging="420"/>
      </w:pPr>
    </w:lvl>
    <w:lvl w:ilvl="8" w:tentative="0">
      <w:start w:val="1"/>
      <w:numFmt w:val="lowerRoman"/>
      <w:lvlText w:val="%9."/>
      <w:lvlJc w:val="right"/>
      <w:pPr>
        <w:ind w:left="4425" w:hanging="420"/>
      </w:pPr>
    </w:lvl>
  </w:abstractNum>
  <w:abstractNum w:abstractNumId="1">
    <w:nsid w:val="3E753EA8"/>
    <w:multiLevelType w:val="multilevel"/>
    <w:tmpl w:val="3E753EA8"/>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512D644C"/>
    <w:multiLevelType w:val="multilevel"/>
    <w:tmpl w:val="512D644C"/>
    <w:lvl w:ilvl="0" w:tentative="0">
      <w:start w:val="1"/>
      <w:numFmt w:val="decimal"/>
      <w:lvlText w:val="%1."/>
      <w:lvlJc w:val="left"/>
      <w:pPr>
        <w:ind w:left="1003" w:hanging="360"/>
      </w:pPr>
      <w:rPr>
        <w:rFonts w:hint="default"/>
        <w:b/>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60"/>
  <w:drawingGridVerticalSpacing w:val="439"/>
  <w:displayHorizontalDrawingGridEvery w:val="2"/>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UyZjg3MjU3Yjg4OGViNzA1Y2U0MDRmNWFmYWQxY2QifQ=="/>
  </w:docVars>
  <w:rsids>
    <w:rsidRoot w:val="303D66D1"/>
    <w:rsid w:val="00027C0D"/>
    <w:rsid w:val="000528E5"/>
    <w:rsid w:val="0019679B"/>
    <w:rsid w:val="001E4E6E"/>
    <w:rsid w:val="002345D9"/>
    <w:rsid w:val="00255B39"/>
    <w:rsid w:val="00376423"/>
    <w:rsid w:val="003F04BA"/>
    <w:rsid w:val="005865C1"/>
    <w:rsid w:val="006926FC"/>
    <w:rsid w:val="006B78E6"/>
    <w:rsid w:val="006C2967"/>
    <w:rsid w:val="006F27F5"/>
    <w:rsid w:val="007108AE"/>
    <w:rsid w:val="007636DF"/>
    <w:rsid w:val="007F6FF5"/>
    <w:rsid w:val="00894D0D"/>
    <w:rsid w:val="008B2DEF"/>
    <w:rsid w:val="008F55A5"/>
    <w:rsid w:val="00964506"/>
    <w:rsid w:val="009F7F9D"/>
    <w:rsid w:val="00AA7C57"/>
    <w:rsid w:val="00B93F2F"/>
    <w:rsid w:val="00C04A05"/>
    <w:rsid w:val="00D239B3"/>
    <w:rsid w:val="00D76A27"/>
    <w:rsid w:val="00F30CF0"/>
    <w:rsid w:val="01CF11B3"/>
    <w:rsid w:val="04FF212C"/>
    <w:rsid w:val="06A3335E"/>
    <w:rsid w:val="09356DD0"/>
    <w:rsid w:val="09744E36"/>
    <w:rsid w:val="0AA25A34"/>
    <w:rsid w:val="0C7E0853"/>
    <w:rsid w:val="0F9B0CA3"/>
    <w:rsid w:val="0FFEDA1B"/>
    <w:rsid w:val="160257CF"/>
    <w:rsid w:val="16BF796D"/>
    <w:rsid w:val="182B3104"/>
    <w:rsid w:val="19503165"/>
    <w:rsid w:val="195C14A3"/>
    <w:rsid w:val="1A7A19FF"/>
    <w:rsid w:val="1A89725E"/>
    <w:rsid w:val="1D51073B"/>
    <w:rsid w:val="1D74500E"/>
    <w:rsid w:val="21E5472C"/>
    <w:rsid w:val="22B91715"/>
    <w:rsid w:val="22D73A08"/>
    <w:rsid w:val="237F470C"/>
    <w:rsid w:val="23BF0FAD"/>
    <w:rsid w:val="241E5CD3"/>
    <w:rsid w:val="2926366B"/>
    <w:rsid w:val="2AD00EAB"/>
    <w:rsid w:val="2C5A722E"/>
    <w:rsid w:val="2E381733"/>
    <w:rsid w:val="2E3BA70A"/>
    <w:rsid w:val="303D66D1"/>
    <w:rsid w:val="32C16591"/>
    <w:rsid w:val="33876BF0"/>
    <w:rsid w:val="35535D7D"/>
    <w:rsid w:val="363C4BE8"/>
    <w:rsid w:val="39395E86"/>
    <w:rsid w:val="39BF775C"/>
    <w:rsid w:val="3B8A4914"/>
    <w:rsid w:val="3EF142B8"/>
    <w:rsid w:val="3F241F17"/>
    <w:rsid w:val="408D0011"/>
    <w:rsid w:val="42701D54"/>
    <w:rsid w:val="43A23DD3"/>
    <w:rsid w:val="46A34384"/>
    <w:rsid w:val="4CB35DAC"/>
    <w:rsid w:val="4E0F6509"/>
    <w:rsid w:val="4EA1672E"/>
    <w:rsid w:val="4F71A416"/>
    <w:rsid w:val="501F6DC0"/>
    <w:rsid w:val="514069D9"/>
    <w:rsid w:val="51CF30C4"/>
    <w:rsid w:val="54370568"/>
    <w:rsid w:val="545C7FCE"/>
    <w:rsid w:val="54FE6083"/>
    <w:rsid w:val="56144852"/>
    <w:rsid w:val="58B8581B"/>
    <w:rsid w:val="5A5B05DB"/>
    <w:rsid w:val="5A737E20"/>
    <w:rsid w:val="5B911107"/>
    <w:rsid w:val="5D737206"/>
    <w:rsid w:val="5FB213EA"/>
    <w:rsid w:val="667E7FC4"/>
    <w:rsid w:val="670B29FF"/>
    <w:rsid w:val="67762695"/>
    <w:rsid w:val="6AD01D88"/>
    <w:rsid w:val="6AD246EE"/>
    <w:rsid w:val="6B510215"/>
    <w:rsid w:val="6C512C51"/>
    <w:rsid w:val="70BFC9DD"/>
    <w:rsid w:val="70C10B4C"/>
    <w:rsid w:val="717D77DC"/>
    <w:rsid w:val="74F02341"/>
    <w:rsid w:val="756E5918"/>
    <w:rsid w:val="7B82052E"/>
    <w:rsid w:val="7B845591"/>
    <w:rsid w:val="7BD66AFE"/>
    <w:rsid w:val="7EBDD7CF"/>
    <w:rsid w:val="9F27F205"/>
    <w:rsid w:val="AB7D32B6"/>
    <w:rsid w:val="BFBFB7E0"/>
    <w:rsid w:val="E7BA4552"/>
    <w:rsid w:val="EAE29105"/>
    <w:rsid w:val="F3B7FC15"/>
    <w:rsid w:val="FBBF074E"/>
    <w:rsid w:val="FDBE5CFF"/>
    <w:rsid w:val="FDF99053"/>
    <w:rsid w:val="FF6FF8EB"/>
    <w:rsid w:val="FFFE5C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line="576" w:lineRule="exact"/>
      <w:jc w:val="both"/>
    </w:pPr>
    <w:rPr>
      <w:rFonts w:ascii="Tahoma" w:hAnsi="Tahoma" w:eastAsia="方正仿宋简体" w:cstheme="minorBidi"/>
      <w:sz w:val="32"/>
      <w:szCs w:val="22"/>
      <w:lang w:val="en-US" w:eastAsia="zh-CN" w:bidi="ar-SA"/>
    </w:rPr>
  </w:style>
  <w:style w:type="paragraph" w:styleId="2">
    <w:name w:val="heading 1"/>
    <w:basedOn w:val="1"/>
    <w:next w:val="1"/>
    <w:link w:val="18"/>
    <w:qFormat/>
    <w:uiPriority w:val="0"/>
    <w:pPr>
      <w:keepNext/>
      <w:keepLines/>
      <w:widowControl w:val="0"/>
      <w:adjustRightInd/>
      <w:snapToGrid/>
      <w:spacing w:before="340" w:after="330"/>
      <w:jc w:val="center"/>
      <w:outlineLvl w:val="0"/>
    </w:pPr>
    <w:rPr>
      <w:rFonts w:ascii="Calibri" w:hAnsi="Calibri" w:eastAsia="方正小标宋简体" w:cs="Times New Roman"/>
      <w:kern w:val="44"/>
      <w:sz w:val="44"/>
      <w:szCs w:val="24"/>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te Heading"/>
    <w:basedOn w:val="1"/>
    <w:next w:val="1"/>
    <w:qFormat/>
    <w:uiPriority w:val="0"/>
    <w:pPr>
      <w:widowControl w:val="0"/>
      <w:jc w:val="center"/>
    </w:pPr>
    <w:rPr>
      <w:rFonts w:ascii="Calibri" w:hAnsi="Calibri" w:eastAsia="宋体" w:cs="Times New Roman"/>
      <w:kern w:val="2"/>
      <w:sz w:val="21"/>
    </w:rPr>
  </w:style>
  <w:style w:type="paragraph" w:styleId="4">
    <w:name w:val="Salutation"/>
    <w:basedOn w:val="1"/>
    <w:next w:val="1"/>
    <w:link w:val="20"/>
    <w:qFormat/>
    <w:uiPriority w:val="99"/>
  </w:style>
  <w:style w:type="paragraph" w:styleId="5">
    <w:name w:val="Body Text Indent"/>
    <w:basedOn w:val="1"/>
    <w:next w:val="6"/>
    <w:qFormat/>
    <w:uiPriority w:val="0"/>
    <w:pPr>
      <w:ind w:left="420" w:leftChars="200"/>
    </w:pPr>
  </w:style>
  <w:style w:type="paragraph" w:styleId="6">
    <w:name w:val="index 7"/>
    <w:basedOn w:val="1"/>
    <w:next w:val="1"/>
    <w:qFormat/>
    <w:uiPriority w:val="0"/>
    <w:pPr>
      <w:ind w:left="1200" w:leftChars="1200" w:firstLine="880" w:firstLineChars="200"/>
    </w:pPr>
    <w:rPr>
      <w:rFonts w:ascii="宋体" w:hAnsi="宋体"/>
    </w:rPr>
  </w:style>
  <w:style w:type="paragraph" w:styleId="7">
    <w:name w:val="toc 3"/>
    <w:basedOn w:val="1"/>
    <w:next w:val="1"/>
    <w:unhideWhenUsed/>
    <w:qFormat/>
    <w:uiPriority w:val="39"/>
    <w:pPr>
      <w:ind w:left="840" w:leftChars="400"/>
    </w:pPr>
  </w:style>
  <w:style w:type="paragraph" w:styleId="8">
    <w:name w:val="footer"/>
    <w:basedOn w:val="1"/>
    <w:qFormat/>
    <w:uiPriority w:val="0"/>
    <w:pPr>
      <w:tabs>
        <w:tab w:val="center" w:pos="4153"/>
        <w:tab w:val="right" w:pos="8306"/>
      </w:tabs>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0">
    <w:name w:val="Normal (Web)"/>
    <w:basedOn w:val="1"/>
    <w:qFormat/>
    <w:uiPriority w:val="0"/>
    <w:pPr>
      <w:spacing w:beforeAutospacing="1" w:after="0" w:afterAutospacing="1"/>
      <w:jc w:val="left"/>
    </w:pPr>
    <w:rPr>
      <w:rFonts w:cs="Times New Roman"/>
      <w:sz w:val="24"/>
    </w:rPr>
  </w:style>
  <w:style w:type="paragraph" w:styleId="11">
    <w:name w:val="Body Text First Indent 2"/>
    <w:basedOn w:val="5"/>
    <w:next w:val="7"/>
    <w:qFormat/>
    <w:uiPriority w:val="0"/>
    <w:pPr>
      <w:ind w:firstLine="420" w:firstLineChars="200"/>
    </w:pPr>
  </w:style>
  <w:style w:type="character" w:styleId="14">
    <w:name w:val="Strong"/>
    <w:basedOn w:val="13"/>
    <w:qFormat/>
    <w:uiPriority w:val="0"/>
    <w:rPr>
      <w:b/>
    </w:rPr>
  </w:style>
  <w:style w:type="character" w:styleId="15">
    <w:name w:val="page number"/>
    <w:qFormat/>
    <w:uiPriority w:val="0"/>
  </w:style>
  <w:style w:type="paragraph" w:customStyle="1" w:styleId="16">
    <w:name w:val="正文-公1"/>
    <w:basedOn w:val="17"/>
    <w:next w:val="1"/>
    <w:qFormat/>
    <w:uiPriority w:val="0"/>
    <w:pPr>
      <w:ind w:firstLine="200" w:firstLineChars="200"/>
    </w:pPr>
  </w:style>
  <w:style w:type="paragraph" w:customStyle="1" w:styleId="1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6"/>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8">
    <w:name w:val="标题 1 Char"/>
    <w:basedOn w:val="13"/>
    <w:link w:val="2"/>
    <w:qFormat/>
    <w:uiPriority w:val="0"/>
    <w:rPr>
      <w:rFonts w:ascii="Calibri" w:hAnsi="Calibri" w:eastAsia="方正小标宋简体"/>
      <w:kern w:val="44"/>
      <w:sz w:val="44"/>
      <w:szCs w:val="24"/>
    </w:rPr>
  </w:style>
  <w:style w:type="paragraph" w:customStyle="1" w:styleId="19">
    <w:name w:val="样式 首行缩进:  2 字符2"/>
    <w:basedOn w:val="1"/>
    <w:qFormat/>
    <w:uiPriority w:val="0"/>
    <w:pPr>
      <w:widowControl w:val="0"/>
      <w:adjustRightInd/>
      <w:snapToGrid/>
      <w:spacing w:after="0" w:line="500" w:lineRule="exact"/>
      <w:ind w:firstLine="480" w:firstLineChars="200"/>
    </w:pPr>
    <w:rPr>
      <w:rFonts w:ascii="宋体" w:hAnsi="宋体" w:eastAsia="宋体" w:cs="宋体"/>
      <w:kern w:val="18"/>
      <w:sz w:val="21"/>
      <w:szCs w:val="24"/>
    </w:rPr>
  </w:style>
  <w:style w:type="character" w:customStyle="1" w:styleId="20">
    <w:name w:val="称呼 Char"/>
    <w:basedOn w:val="13"/>
    <w:link w:val="4"/>
    <w:qFormat/>
    <w:uiPriority w:val="99"/>
    <w:rPr>
      <w:rFonts w:ascii="Tahoma" w:hAnsi="Tahoma" w:eastAsia="方正仿宋简体" w:cstheme="minorBidi"/>
      <w:sz w:val="32"/>
      <w:szCs w:val="22"/>
    </w:rPr>
  </w:style>
  <w:style w:type="paragraph" w:customStyle="1" w:styleId="21">
    <w:name w:val="WPSOffice手动目录 1"/>
    <w:qFormat/>
    <w:uiPriority w:val="0"/>
    <w:rPr>
      <w:rFonts w:ascii="Times New Roman" w:hAnsi="Times New Roman" w:eastAsia="宋体" w:cs="Times New Roman"/>
      <w:lang w:val="en-US" w:eastAsia="zh-CN" w:bidi="ar-SA"/>
    </w:rPr>
  </w:style>
  <w:style w:type="paragraph" w:customStyle="1" w:styleId="22">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929</Words>
  <Characters>5298</Characters>
  <Lines>44</Lines>
  <Paragraphs>12</Paragraphs>
  <TotalTime>3</TotalTime>
  <ScaleCrop>false</ScaleCrop>
  <LinksUpToDate>false</LinksUpToDate>
  <CharactersWithSpaces>6215</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2026-03-24T21:50:00Z</dcterms:created>
  <dc:creator>x.g</dc:creator>
  <cp:lastModifiedBy>雪</cp:lastModifiedBy>
  <cp:lastPrinted>2026-03-30T04:20:00Z</cp:lastPrinted>
  <dcterms:modified xsi:type="dcterms:W3CDTF">2026-09-14T02:36:50Z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EFCA82E8D09A13A823A0C06975335FEF</vt:lpwstr>
  </property>
  <property fmtid="{D5CDD505-2E9C-101B-9397-08002B2CF9AE}" pid="4" name="KSOTemplateDocerSaveRecord">
    <vt:lpwstr>eyJoZGlkIjoiYWZkMjgyYjM3MzEyMDZiMTIwZWUzMzFhYTJhYWU1ZDciLCJ1c2VySWQiOiIzMDY2NDUxMTUifQ==</vt:lpwstr>
  </property>
</Properties>
</file>