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center"/>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rPr>
        <w:t>比如县住建局机关</w:t>
      </w:r>
      <w:r>
        <w:rPr>
          <w:rFonts w:hint="default" w:asciiTheme="majorEastAsia" w:hAnsiTheme="majorEastAsia" w:eastAsiaTheme="majorEastAsia" w:cstheme="majorEastAsia"/>
          <w:b/>
          <w:bCs/>
          <w:color w:val="auto"/>
          <w:sz w:val="44"/>
          <w:szCs w:val="44"/>
          <w:highlight w:val="none"/>
          <w:lang w:val="en-US"/>
        </w:rPr>
        <w:t>2025</w:t>
      </w:r>
      <w:r>
        <w:rPr>
          <w:rFonts w:hint="eastAsia" w:asciiTheme="majorEastAsia" w:hAnsiTheme="majorEastAsia" w:eastAsiaTheme="majorEastAsia" w:cstheme="majorEastAsia"/>
          <w:b/>
          <w:bCs/>
          <w:color w:val="auto"/>
          <w:sz w:val="44"/>
          <w:szCs w:val="44"/>
          <w:highlight w:val="none"/>
        </w:rPr>
        <w:t>年度部门决算公开报告</w:t>
      </w:r>
    </w:p>
    <w:p>
      <w:pPr>
        <w:spacing w:line="578" w:lineRule="exact"/>
        <w:jc w:val="center"/>
        <w:rPr>
          <w:rFonts w:hint="eastAsia" w:ascii="黑体" w:hAnsi="ˎ̥" w:eastAsia="黑体"/>
          <w:b/>
          <w:color w:val="auto"/>
          <w:sz w:val="32"/>
          <w:szCs w:val="32"/>
          <w:highlight w:val="none"/>
        </w:rPr>
      </w:pPr>
    </w:p>
    <w:p>
      <w:pPr>
        <w:spacing w:line="578" w:lineRule="exact"/>
        <w:jc w:val="center"/>
        <w:rPr>
          <w:rFonts w:hint="eastAsia" w:ascii="黑体" w:hAnsi="黑体" w:eastAsia="黑体" w:cs="黑体"/>
          <w:color w:val="auto"/>
          <w:sz w:val="44"/>
          <w:szCs w:val="44"/>
          <w:highlight w:val="none"/>
        </w:rPr>
      </w:pPr>
      <w:bookmarkStart w:id="0" w:name="_Toc11440_WPSOffice_Type2"/>
      <w:r>
        <w:rPr>
          <w:rFonts w:hint="eastAsia" w:ascii="黑体" w:hAnsi="黑体" w:eastAsia="黑体" w:cs="黑体"/>
          <w:color w:val="auto"/>
          <w:sz w:val="44"/>
          <w:szCs w:val="44"/>
          <w:highlight w:val="none"/>
        </w:rPr>
        <w:t>目  录</w:t>
      </w:r>
    </w:p>
    <w:p>
      <w:pPr>
        <w:pStyle w:val="15"/>
        <w:tabs>
          <w:tab w:val="right" w:leader="dot" w:pos="8306"/>
        </w:tabs>
        <w:spacing w:line="578" w:lineRule="exact"/>
        <w:rPr>
          <w:rFonts w:hint="eastAsia"/>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_Toc1704_WPSOffice_Level1 </w:instrText>
      </w:r>
      <w:r>
        <w:rPr>
          <w:color w:val="auto"/>
          <w:sz w:val="32"/>
          <w:szCs w:val="32"/>
          <w:highlight w:val="none"/>
        </w:rPr>
        <w:fldChar w:fldCharType="separate"/>
      </w:r>
      <w:r>
        <w:rPr>
          <w:rFonts w:hint="eastAsia" w:ascii="黑体" w:hAnsi="ˎ̥" w:eastAsia="黑体"/>
          <w:color w:val="auto"/>
          <w:sz w:val="32"/>
          <w:szCs w:val="32"/>
          <w:highlight w:val="none"/>
        </w:rPr>
        <w:t>第一部分 基本情况</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2</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_Toc20274_WPSOffice_Level2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一、部门（单位）职责</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2</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_Toc4833_WPSOffice_Level2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color w:val="auto"/>
          <w:sz w:val="32"/>
          <w:szCs w:val="32"/>
          <w:highlight w:val="none"/>
        </w:rPr>
        <w:t>二、机构设置</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2</w:t>
      </w:r>
    </w:p>
    <w:p>
      <w:pPr>
        <w:pStyle w:val="15"/>
        <w:tabs>
          <w:tab w:val="right" w:leader="dot" w:pos="8306"/>
        </w:tabs>
        <w:spacing w:line="578" w:lineRule="exact"/>
        <w:rPr>
          <w:rFonts w:hint="eastAsia"/>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_Toc28253_WPSOffice_Level1 </w:instrText>
      </w:r>
      <w:r>
        <w:rPr>
          <w:color w:val="auto"/>
          <w:sz w:val="32"/>
          <w:szCs w:val="32"/>
          <w:highlight w:val="none"/>
        </w:rPr>
        <w:fldChar w:fldCharType="separate"/>
      </w:r>
      <w:r>
        <w:rPr>
          <w:rFonts w:hint="eastAsia" w:ascii="黑体" w:hAnsi="ˎ̥" w:eastAsia="黑体"/>
          <w:color w:val="auto"/>
          <w:sz w:val="32"/>
          <w:szCs w:val="32"/>
          <w:highlight w:val="none"/>
        </w:rPr>
        <w:t xml:space="preserve">第二部分  </w:t>
      </w:r>
      <w:r>
        <w:rPr>
          <w:rFonts w:hint="default" w:ascii="黑体" w:hAnsi="ˎ̥" w:eastAsia="黑体"/>
          <w:color w:val="auto"/>
          <w:sz w:val="32"/>
          <w:szCs w:val="32"/>
          <w:highlight w:val="none"/>
          <w:lang w:val="en-US"/>
        </w:rPr>
        <w:t>2025</w:t>
      </w:r>
      <w:r>
        <w:rPr>
          <w:rFonts w:hint="eastAsia" w:ascii="黑体" w:hAnsi="ˎ̥" w:eastAsia="黑体"/>
          <w:color w:val="auto"/>
          <w:sz w:val="32"/>
          <w:szCs w:val="32"/>
          <w:highlight w:val="none"/>
        </w:rPr>
        <w:t>年度部门决算公开表</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2</w:t>
      </w:r>
    </w:p>
    <w:p>
      <w:pPr>
        <w:pStyle w:val="15"/>
        <w:tabs>
          <w:tab w:val="right" w:leader="dot" w:pos="8306"/>
        </w:tabs>
        <w:spacing w:line="578" w:lineRule="exact"/>
        <w:rPr>
          <w:rFonts w:hint="eastAsia"/>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_Toc27590_WPSOffice_Level1 </w:instrText>
      </w:r>
      <w:r>
        <w:rPr>
          <w:color w:val="auto"/>
          <w:sz w:val="32"/>
          <w:szCs w:val="32"/>
          <w:highlight w:val="none"/>
        </w:rPr>
        <w:fldChar w:fldCharType="separate"/>
      </w:r>
      <w:r>
        <w:rPr>
          <w:rFonts w:hint="eastAsia" w:ascii="黑体" w:hAnsi="黑体" w:eastAsia="黑体" w:cs="黑体"/>
          <w:color w:val="auto"/>
          <w:sz w:val="32"/>
          <w:szCs w:val="32"/>
          <w:highlight w:val="none"/>
        </w:rPr>
        <w:t>第三部分</w:t>
      </w:r>
      <w:r>
        <w:rPr>
          <w:rFonts w:hint="eastAsia"/>
          <w:color w:val="auto"/>
          <w:sz w:val="32"/>
          <w:szCs w:val="32"/>
          <w:highlight w:val="none"/>
        </w:rPr>
        <w:t xml:space="preserve">  </w:t>
      </w:r>
      <w:r>
        <w:rPr>
          <w:rFonts w:hint="default" w:ascii="黑体" w:hAnsi="ˎ̥" w:eastAsia="黑体"/>
          <w:color w:val="auto"/>
          <w:sz w:val="32"/>
          <w:szCs w:val="32"/>
          <w:highlight w:val="none"/>
          <w:lang w:val="en-US"/>
        </w:rPr>
        <w:t>2025</w:t>
      </w:r>
      <w:r>
        <w:rPr>
          <w:rFonts w:hint="eastAsia" w:ascii="黑体" w:hAnsi="ˎ̥" w:eastAsia="黑体"/>
          <w:color w:val="auto"/>
          <w:sz w:val="32"/>
          <w:szCs w:val="32"/>
          <w:highlight w:val="none"/>
        </w:rPr>
        <w:t>年度部门决算情况说明</w:t>
      </w:r>
      <w:r>
        <w:rPr>
          <w:color w:val="auto"/>
          <w:sz w:val="32"/>
          <w:szCs w:val="32"/>
          <w:highlight w:val="none"/>
        </w:rPr>
        <w:tab/>
      </w:r>
      <w:r>
        <w:rPr>
          <w:color w:val="auto"/>
          <w:sz w:val="32"/>
          <w:szCs w:val="32"/>
          <w:highlight w:val="none"/>
        </w:rPr>
        <w:fldChar w:fldCharType="end"/>
      </w:r>
      <w:r>
        <w:rPr>
          <w:rFonts w:hint="eastAsia"/>
          <w:color w:val="auto"/>
          <w:sz w:val="32"/>
          <w:szCs w:val="32"/>
          <w:highlight w:val="none"/>
        </w:rPr>
        <w:t>3</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_Toc21737_WPSOffice_Level2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一、收入支出总体情况说明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3</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二、收入决算情况说明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4</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三、支出决算情况说明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4</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四、财政拨款收入支出决算</w:t>
      </w:r>
      <w:r>
        <w:rPr>
          <w:rFonts w:hint="eastAsia" w:ascii="仿宋" w:hAnsi="仿宋" w:eastAsia="仿宋" w:cs="仿宋"/>
          <w:bCs/>
          <w:color w:val="auto"/>
          <w:sz w:val="32"/>
          <w:szCs w:val="32"/>
          <w:highlight w:val="none"/>
          <w:lang w:val="en-US" w:eastAsia="zh-CN"/>
        </w:rPr>
        <w:t>总体</w:t>
      </w:r>
      <w:r>
        <w:rPr>
          <w:rFonts w:hint="eastAsia" w:ascii="仿宋" w:hAnsi="仿宋" w:eastAsia="仿宋" w:cs="仿宋"/>
          <w:bCs/>
          <w:color w:val="auto"/>
          <w:sz w:val="32"/>
          <w:szCs w:val="32"/>
          <w:highlight w:val="none"/>
        </w:rPr>
        <w:t>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4</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五、一般公共预算财政拨款支出决算情况说明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5</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六、一般公共预算财政拨款基本支出决算情况说明</w:t>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t>6</w:t>
      </w:r>
    </w:p>
    <w:p>
      <w:pPr>
        <w:pStyle w:val="16"/>
        <w:numPr>
          <w:ilvl w:val="0"/>
          <w:numId w:val="0"/>
        </w:numPr>
        <w:tabs>
          <w:tab w:val="right" w:leader="dot" w:pos="8306"/>
        </w:tabs>
        <w:spacing w:line="578" w:lineRule="exact"/>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lang w:val="en-US" w:eastAsia="zh-CN"/>
        </w:rPr>
        <w:t>七、</w:t>
      </w:r>
      <w:r>
        <w:rPr>
          <w:rFonts w:hint="eastAsia" w:ascii="仿宋" w:hAnsi="仿宋" w:eastAsia="仿宋" w:cs="仿宋"/>
          <w:bCs/>
          <w:color w:val="auto"/>
          <w:sz w:val="32"/>
          <w:szCs w:val="32"/>
          <w:highlight w:val="none"/>
        </w:rPr>
        <w:t>政府性基金预算财政拨款支出决算情况说明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t>7</w:t>
      </w:r>
    </w:p>
    <w:p>
      <w:pPr>
        <w:pStyle w:val="16"/>
        <w:numPr>
          <w:ilvl w:val="0"/>
          <w:numId w:val="0"/>
        </w:numPr>
        <w:tabs>
          <w:tab w:val="right" w:leader="dot" w:pos="8306"/>
        </w:tabs>
        <w:spacing w:line="578" w:lineRule="exact"/>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lang w:val="en-US" w:eastAsia="zh-CN"/>
        </w:rPr>
        <w:t>八、</w:t>
      </w:r>
      <w:r>
        <w:rPr>
          <w:rFonts w:hint="eastAsia" w:ascii="仿宋" w:hAnsi="仿宋" w:eastAsia="仿宋" w:cs="仿宋"/>
          <w:bCs/>
          <w:color w:val="auto"/>
          <w:sz w:val="32"/>
          <w:szCs w:val="32"/>
          <w:highlight w:val="none"/>
        </w:rPr>
        <w:t>国有资本经营预算财政拨款支出决算情况说明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t>8</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九、财政拨款“三公”经费支出决算情况说明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9</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\l _Toc19535_WPSOffice_Level2 </w:instrText>
      </w:r>
      <w:r>
        <w:rPr>
          <w:rFonts w:hint="eastAsia" w:ascii="仿宋" w:hAnsi="仿宋" w:eastAsia="仿宋" w:cs="仿宋"/>
          <w:color w:val="auto"/>
          <w:sz w:val="32"/>
          <w:szCs w:val="32"/>
          <w:highlight w:val="none"/>
        </w:rPr>
        <w:fldChar w:fldCharType="separate"/>
      </w:r>
      <w:r>
        <w:rPr>
          <w:rFonts w:hint="eastAsia" w:ascii="仿宋" w:hAnsi="仿宋" w:eastAsia="仿宋" w:cs="仿宋"/>
          <w:bCs/>
          <w:color w:val="auto"/>
          <w:sz w:val="32"/>
          <w:szCs w:val="32"/>
          <w:highlight w:val="none"/>
        </w:rPr>
        <w:t>十、预算绩效情况说明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fldChar w:fldCharType="end"/>
      </w:r>
      <w:r>
        <w:rPr>
          <w:rFonts w:hint="eastAsia" w:ascii="仿宋" w:hAnsi="仿宋" w:eastAsia="仿宋" w:cs="仿宋"/>
          <w:color w:val="auto"/>
          <w:sz w:val="32"/>
          <w:szCs w:val="32"/>
          <w:highlight w:val="none"/>
        </w:rPr>
        <w:t>11</w:t>
      </w:r>
    </w:p>
    <w:p>
      <w:pPr>
        <w:pStyle w:val="16"/>
        <w:tabs>
          <w:tab w:val="right" w:leader="dot" w:pos="8306"/>
        </w:tabs>
        <w:spacing w:line="578" w:lineRule="exact"/>
        <w:ind w:leftChars="0"/>
        <w:rPr>
          <w:rFonts w:hint="eastAsia" w:ascii="仿宋" w:hAnsi="仿宋" w:eastAsia="仿宋" w:cs="仿宋"/>
          <w:color w:val="auto"/>
          <w:sz w:val="32"/>
          <w:szCs w:val="32"/>
          <w:highlight w:val="none"/>
        </w:rPr>
      </w:pPr>
      <w:r>
        <w:rPr>
          <w:rFonts w:hint="eastAsia" w:ascii="仿宋" w:hAnsi="仿宋" w:eastAsia="仿宋" w:cs="仿宋"/>
          <w:bCs/>
          <w:color w:val="auto"/>
          <w:sz w:val="32"/>
          <w:szCs w:val="32"/>
          <w:highlight w:val="none"/>
        </w:rPr>
        <w:t>十一、其他重要事项情况说明</w:t>
      </w:r>
      <w:r>
        <w:rPr>
          <w:rFonts w:hint="eastAsia" w:ascii="仿宋" w:hAnsi="仿宋" w:eastAsia="仿宋" w:cs="仿宋"/>
          <w:color w:val="auto"/>
          <w:sz w:val="32"/>
          <w:szCs w:val="32"/>
          <w:highlight w:val="none"/>
        </w:rPr>
        <w:tab/>
      </w:r>
      <w:r>
        <w:rPr>
          <w:rFonts w:hint="eastAsia" w:ascii="仿宋" w:hAnsi="仿宋" w:eastAsia="仿宋" w:cs="仿宋"/>
          <w:color w:val="auto"/>
          <w:sz w:val="32"/>
          <w:szCs w:val="32"/>
          <w:highlight w:val="none"/>
        </w:rPr>
        <w:t>13</w:t>
      </w:r>
    </w:p>
    <w:p>
      <w:pPr>
        <w:pStyle w:val="15"/>
        <w:tabs>
          <w:tab w:val="right" w:leader="dot" w:pos="8306"/>
        </w:tabs>
        <w:spacing w:line="578" w:lineRule="exact"/>
        <w:rPr>
          <w:rFonts w:hint="eastAsia" w:ascii="黑体" w:hAnsi="ˎ̥"/>
          <w:b/>
          <w:color w:val="auto"/>
          <w:sz w:val="32"/>
          <w:szCs w:val="32"/>
          <w:highlight w:val="none"/>
        </w:rPr>
      </w:pPr>
      <w:r>
        <w:rPr>
          <w:color w:val="auto"/>
          <w:sz w:val="32"/>
          <w:szCs w:val="32"/>
          <w:highlight w:val="none"/>
        </w:rPr>
        <w:fldChar w:fldCharType="begin"/>
      </w:r>
      <w:r>
        <w:rPr>
          <w:color w:val="auto"/>
          <w:sz w:val="32"/>
          <w:szCs w:val="32"/>
          <w:highlight w:val="none"/>
        </w:rPr>
        <w:instrText xml:space="preserve"> HYPERLINK \l _Toc15425_WPSOffice_Level1 </w:instrText>
      </w:r>
      <w:r>
        <w:rPr>
          <w:color w:val="auto"/>
          <w:sz w:val="32"/>
          <w:szCs w:val="32"/>
          <w:highlight w:val="none"/>
        </w:rPr>
        <w:fldChar w:fldCharType="separate"/>
      </w:r>
      <w:r>
        <w:rPr>
          <w:rFonts w:hint="eastAsia" w:ascii="黑体" w:hAnsi="ˎ̥" w:eastAsia="黑体"/>
          <w:color w:val="auto"/>
          <w:sz w:val="32"/>
          <w:szCs w:val="32"/>
          <w:highlight w:val="none"/>
        </w:rPr>
        <w:t>第四部分  名词解释</w:t>
      </w:r>
      <w:r>
        <w:rPr>
          <w:color w:val="auto"/>
          <w:sz w:val="32"/>
          <w:szCs w:val="32"/>
          <w:highlight w:val="none"/>
        </w:rPr>
        <w:tab/>
      </w:r>
      <w:bookmarkStart w:id="1" w:name="_Toc15425_WPSOffice_Level1Page"/>
      <w:r>
        <w:rPr>
          <w:color w:val="auto"/>
          <w:sz w:val="32"/>
          <w:szCs w:val="32"/>
          <w:highlight w:val="none"/>
        </w:rPr>
        <w:t>1</w:t>
      </w:r>
      <w:bookmarkEnd w:id="1"/>
      <w:r>
        <w:rPr>
          <w:color w:val="auto"/>
          <w:sz w:val="32"/>
          <w:szCs w:val="32"/>
          <w:highlight w:val="none"/>
        </w:rPr>
        <w:fldChar w:fldCharType="end"/>
      </w:r>
      <w:bookmarkEnd w:id="0"/>
      <w:r>
        <w:rPr>
          <w:rFonts w:hint="eastAsia"/>
          <w:color w:val="auto"/>
          <w:sz w:val="32"/>
          <w:szCs w:val="32"/>
          <w:highlight w:val="none"/>
        </w:rPr>
        <w:t>5</w:t>
      </w:r>
    </w:p>
    <w:p>
      <w:pPr>
        <w:spacing w:line="578" w:lineRule="exact"/>
        <w:jc w:val="both"/>
        <w:rPr>
          <w:rFonts w:hint="eastAsia" w:ascii="黑体" w:hAnsi="ˎ̥" w:eastAsia="黑体"/>
          <w:color w:val="auto"/>
          <w:sz w:val="32"/>
          <w:szCs w:val="32"/>
          <w:highlight w:val="none"/>
        </w:rPr>
      </w:pPr>
      <w:bookmarkStart w:id="2" w:name="_Toc32433_WPSOffice_Level1"/>
      <w:bookmarkStart w:id="3" w:name="_Toc10049_WPSOffice_Level1"/>
      <w:bookmarkStart w:id="4" w:name="_Toc14159_WPSOffice_Level2"/>
      <w:bookmarkStart w:id="5" w:name="_Toc26580_WPSOffice_Level2"/>
      <w:bookmarkStart w:id="6" w:name="_Toc10720_WPSOffice_Level1"/>
      <w:bookmarkStart w:id="7" w:name="_Toc32622_WPSOffice_Level2"/>
      <w:bookmarkStart w:id="8" w:name="_Toc1704_WPSOffice_Level1"/>
      <w:bookmarkStart w:id="9" w:name="_Toc20274_WPSOffice_Level2"/>
      <w:bookmarkStart w:id="10" w:name="_Toc22941_WPSOffice_Level1"/>
      <w:bookmarkStart w:id="11" w:name="_Toc24238_WPSOffice_Level2"/>
      <w:bookmarkStart w:id="12" w:name="_Toc20205_WPSOffice_Level2"/>
      <w:bookmarkStart w:id="13" w:name="_Toc23465_WPSOffice_Level1"/>
    </w:p>
    <w:bookmarkEnd w:id="2"/>
    <w:bookmarkEnd w:id="3"/>
    <w:bookmarkEnd w:id="4"/>
    <w:bookmarkEnd w:id="5"/>
    <w:bookmarkEnd w:id="6"/>
    <w:bookmarkEnd w:id="7"/>
    <w:bookmarkEnd w:id="8"/>
    <w:bookmarkEnd w:id="9"/>
    <w:bookmarkEnd w:id="10"/>
    <w:bookmarkEnd w:id="11"/>
    <w:bookmarkEnd w:id="12"/>
    <w:bookmarkEnd w:id="13"/>
    <w:p>
      <w:pPr>
        <w:spacing w:line="578" w:lineRule="exact"/>
        <w:ind w:firstLine="640" w:firstLineChars="200"/>
        <w:rPr>
          <w:rFonts w:hint="eastAsia" w:ascii="楷体" w:hAnsi="楷体" w:eastAsia="楷体" w:cs="楷体"/>
          <w:color w:val="auto"/>
          <w:sz w:val="32"/>
          <w:szCs w:val="32"/>
          <w:highlight w:val="none"/>
        </w:rPr>
      </w:pPr>
      <w:bookmarkStart w:id="14" w:name="_Toc6234_WPSOffice_Level1"/>
      <w:bookmarkStart w:id="15" w:name="_Toc8164_WPSOffice_Level1"/>
      <w:bookmarkStart w:id="16" w:name="_Toc28253_WPSOffice_Level1"/>
      <w:bookmarkStart w:id="17" w:name="_Toc15521_WPSOffice_Level1"/>
      <w:bookmarkStart w:id="18" w:name="_Toc30690_WPSOffice_Level1"/>
      <w:bookmarkStart w:id="19" w:name="_Toc30451_WPSOffice_Level1"/>
      <w:bookmarkStart w:id="20" w:name="_Toc4029_WPSOffice_Level2"/>
      <w:bookmarkStart w:id="21" w:name="_Toc32695_WPSOffice_Level2"/>
      <w:bookmarkStart w:id="22" w:name="_Toc11518_WPSOffice_Level2"/>
      <w:bookmarkStart w:id="23" w:name="_Toc6211_WPSOffice_Level2"/>
      <w:bookmarkStart w:id="24" w:name="_Toc32472_WPSOffice_Level2"/>
      <w:bookmarkStart w:id="25" w:name="_Toc8867_WPSOffice_Level2"/>
    </w:p>
    <w:p>
      <w:pPr>
        <w:numPr>
          <w:ilvl w:val="0"/>
          <w:numId w:val="1"/>
        </w:numPr>
        <w:spacing w:line="578"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部门（单位）职责</w:t>
      </w:r>
    </w:p>
    <w:p>
      <w:pPr>
        <w:spacing w:line="532" w:lineRule="exact"/>
        <w:ind w:firstLine="640" w:firstLineChars="200"/>
        <w:rPr>
          <w:rFonts w:hint="eastAsia" w:ascii="仿宋" w:hAnsi="仿宋" w:eastAsia="仿宋" w:cs="仿宋"/>
          <w:color w:val="auto"/>
          <w:sz w:val="32"/>
          <w:szCs w:val="32"/>
          <w:highlight w:val="none"/>
        </w:rPr>
      </w:pPr>
      <w:r>
        <w:rPr>
          <w:rFonts w:ascii="仿宋" w:hAnsi="仿宋" w:eastAsia="仿宋" w:cs="仿宋"/>
          <w:color w:val="auto"/>
          <w:sz w:val="32"/>
          <w:szCs w:val="32"/>
          <w:highlight w:val="none"/>
        </w:rPr>
        <w:t>1</w:t>
      </w:r>
      <w:r>
        <w:rPr>
          <w:rFonts w:hint="eastAsia" w:ascii="仿宋" w:hAnsi="仿宋" w:eastAsia="仿宋" w:cs="仿宋"/>
          <w:color w:val="auto"/>
          <w:sz w:val="32"/>
          <w:szCs w:val="32"/>
          <w:highlight w:val="none"/>
        </w:rPr>
        <w:t>、贯彻执行国家关于住房和城乡建设建设领域政策和法律法规;</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2、承担全县保障性住房的责任;</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3、承担提出全县住房制度改革的责任;</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4、承担规范全县住房和城乡建设管理持续的责任;</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5、承担建立适合全县科学规范的工程建设;</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6、承担规范全县房地产市场秩序、监督管理房地产市场的责任;</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7、监督管理全市建筑市场、规范市场各方主体行为;</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8、拟订全市城市建设的政策指导实践;</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9、承担规范、指导全县、乡镇、村建设的责任；</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10、负责局系统人事、机构编制和劳动工资工作；</w:t>
      </w:r>
    </w:p>
    <w:p>
      <w:pPr>
        <w:spacing w:line="532"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12、承办比如县委、县政府交办的其他事项;</w:t>
      </w:r>
    </w:p>
    <w:p>
      <w:pPr>
        <w:spacing w:line="578" w:lineRule="exact"/>
        <w:ind w:firstLine="640" w:firstLineChars="200"/>
        <w:rPr>
          <w:rFonts w:hint="eastAsia" w:ascii="黑体" w:hAnsi="黑体" w:eastAsia="黑体" w:cs="黑体"/>
          <w:color w:val="auto"/>
          <w:sz w:val="32"/>
          <w:szCs w:val="32"/>
          <w:highlight w:val="none"/>
        </w:rPr>
      </w:pPr>
      <w:bookmarkStart w:id="26" w:name="_Toc24474_WPSOffice_Level2"/>
      <w:bookmarkStart w:id="27" w:name="_Toc6572_WPSOffice_Level2"/>
      <w:bookmarkStart w:id="28" w:name="_Toc24059_WPSOffice_Level2"/>
      <w:bookmarkStart w:id="29" w:name="_Toc17796_WPSOffice_Level2"/>
      <w:bookmarkStart w:id="30" w:name="_Toc4833_WPSOffice_Level2"/>
      <w:r>
        <w:rPr>
          <w:rFonts w:hint="eastAsia" w:ascii="黑体" w:hAnsi="黑体" w:eastAsia="黑体" w:cs="黑体"/>
          <w:color w:val="auto"/>
          <w:sz w:val="32"/>
          <w:szCs w:val="32"/>
          <w:highlight w:val="none"/>
        </w:rPr>
        <w:t>二、机构设置</w:t>
      </w:r>
      <w:bookmarkEnd w:id="26"/>
      <w:bookmarkEnd w:id="27"/>
      <w:bookmarkEnd w:id="28"/>
      <w:bookmarkEnd w:id="29"/>
      <w:bookmarkEnd w:id="30"/>
    </w:p>
    <w:p>
      <w:pPr>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比如县住房和城乡建设局隶属行政机构，单位性质为正科级政府机构，社会统一信用代码为：15424237419325427，共设置局长办公室、财务办公室、综合办公室1、综合办公室2</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会议室</w:t>
      </w:r>
      <w:r>
        <w:rPr>
          <w:rFonts w:hint="eastAsia" w:ascii="仿宋" w:hAnsi="仿宋" w:eastAsia="仿宋"/>
          <w:color w:val="auto"/>
          <w:sz w:val="32"/>
          <w:szCs w:val="32"/>
          <w:highlight w:val="none"/>
        </w:rPr>
        <w:t>。</w:t>
      </w:r>
    </w:p>
    <w:p>
      <w:pPr>
        <w:spacing w:line="578" w:lineRule="exact"/>
        <w:ind w:firstLine="640" w:firstLineChars="200"/>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lang w:val="en-US" w:eastAsia="zh-CN"/>
        </w:rPr>
        <w:t>无</w:t>
      </w:r>
      <w:r>
        <w:rPr>
          <w:rFonts w:hint="eastAsia" w:ascii="仿宋_GB2312" w:hAnsi="ˎ̥" w:eastAsia="仿宋_GB2312"/>
          <w:color w:val="auto"/>
          <w:sz w:val="32"/>
          <w:szCs w:val="32"/>
          <w:highlight w:val="none"/>
        </w:rPr>
        <w:t>纳入</w:t>
      </w:r>
      <w:r>
        <w:rPr>
          <w:rFonts w:hint="eastAsia" w:ascii="仿宋" w:hAnsi="仿宋" w:eastAsia="仿宋"/>
          <w:color w:val="auto"/>
          <w:sz w:val="32"/>
          <w:szCs w:val="32"/>
          <w:highlight w:val="none"/>
        </w:rPr>
        <w:t>比如县住房和城乡建设局</w:t>
      </w:r>
      <w:r>
        <w:rPr>
          <w:rFonts w:hint="eastAsia" w:ascii="仿宋_GB2312" w:hAnsi="ˎ̥" w:eastAsia="仿宋_GB2312"/>
          <w:color w:val="auto"/>
          <w:sz w:val="32"/>
          <w:szCs w:val="32"/>
          <w:highlight w:val="none"/>
          <w:lang w:eastAsia="zh-CN"/>
        </w:rPr>
        <w:t>2024</w:t>
      </w:r>
      <w:r>
        <w:rPr>
          <w:rFonts w:hint="eastAsia" w:ascii="仿宋_GB2312" w:hAnsi="ˎ̥" w:eastAsia="仿宋_GB2312"/>
          <w:color w:val="auto"/>
          <w:sz w:val="32"/>
          <w:szCs w:val="32"/>
          <w:highlight w:val="none"/>
        </w:rPr>
        <w:t>年度部门决算编制范围的单位</w:t>
      </w:r>
      <w:r>
        <w:rPr>
          <w:rFonts w:hint="eastAsia" w:ascii="仿宋_GB2312" w:hAnsi="ˎ̥" w:eastAsia="仿宋_GB2312"/>
          <w:color w:val="auto"/>
          <w:sz w:val="32"/>
          <w:szCs w:val="32"/>
          <w:highlight w:val="none"/>
          <w:lang w:eastAsia="zh-CN"/>
        </w:rPr>
        <w:t>。</w:t>
      </w:r>
    </w:p>
    <w:p>
      <w:pPr>
        <w:spacing w:line="578" w:lineRule="exact"/>
        <w:jc w:val="center"/>
        <w:rPr>
          <w:rFonts w:hint="eastAsia" w:ascii="黑体" w:hAnsi="ˎ̥" w:eastAsia="黑体"/>
          <w:color w:val="auto"/>
          <w:sz w:val="32"/>
          <w:szCs w:val="32"/>
          <w:highlight w:val="none"/>
        </w:rPr>
      </w:pPr>
    </w:p>
    <w:p>
      <w:pPr>
        <w:spacing w:line="578" w:lineRule="exact"/>
        <w:jc w:val="center"/>
        <w:rPr>
          <w:rFonts w:hint="eastAsia" w:ascii="黑体" w:hAnsi="ˎ̥" w:eastAsia="黑体"/>
          <w:color w:val="auto"/>
          <w:sz w:val="32"/>
          <w:szCs w:val="32"/>
          <w:highlight w:val="none"/>
        </w:rPr>
      </w:pPr>
      <w:r>
        <w:rPr>
          <w:rFonts w:hint="eastAsia" w:ascii="黑体" w:hAnsi="ˎ̥" w:eastAsia="黑体"/>
          <w:color w:val="auto"/>
          <w:sz w:val="32"/>
          <w:szCs w:val="32"/>
          <w:highlight w:val="none"/>
        </w:rPr>
        <w:t xml:space="preserve">第二部分  </w:t>
      </w:r>
      <w:r>
        <w:rPr>
          <w:rFonts w:hint="default" w:ascii="黑体" w:hAnsi="ˎ̥" w:eastAsia="黑体"/>
          <w:color w:val="auto"/>
          <w:sz w:val="32"/>
          <w:szCs w:val="32"/>
          <w:highlight w:val="none"/>
          <w:lang w:val="en-US"/>
        </w:rPr>
        <w:t>2025</w:t>
      </w:r>
      <w:r>
        <w:rPr>
          <w:rFonts w:hint="eastAsia" w:ascii="黑体" w:hAnsi="ˎ̥" w:eastAsia="黑体"/>
          <w:color w:val="auto"/>
          <w:sz w:val="32"/>
          <w:szCs w:val="32"/>
          <w:highlight w:val="none"/>
        </w:rPr>
        <w:t>年度部门决算公开报表</w:t>
      </w:r>
      <w:bookmarkEnd w:id="14"/>
      <w:bookmarkEnd w:id="15"/>
      <w:bookmarkEnd w:id="16"/>
      <w:bookmarkEnd w:id="17"/>
      <w:bookmarkEnd w:id="18"/>
      <w:bookmarkEnd w:id="19"/>
    </w:p>
    <w:p>
      <w:pPr>
        <w:spacing w:line="578" w:lineRule="exact"/>
        <w:ind w:firstLine="645"/>
        <w:rPr>
          <w:rFonts w:hint="eastAsia" w:ascii="黑体" w:hAnsi="黑体" w:eastAsia="黑体" w:cs="黑体"/>
          <w:color w:val="auto"/>
          <w:sz w:val="32"/>
          <w:szCs w:val="32"/>
          <w:highlight w:val="none"/>
        </w:rPr>
      </w:pPr>
    </w:p>
    <w:p>
      <w:pPr>
        <w:spacing w:line="578" w:lineRule="exact"/>
        <w:ind w:firstLine="645"/>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一、收入支出决算公开表</w:t>
      </w:r>
      <w:bookmarkEnd w:id="20"/>
      <w:bookmarkEnd w:id="21"/>
      <w:bookmarkEnd w:id="22"/>
      <w:bookmarkEnd w:id="23"/>
      <w:bookmarkEnd w:id="24"/>
      <w:bookmarkEnd w:id="25"/>
    </w:p>
    <w:p>
      <w:pPr>
        <w:spacing w:line="578" w:lineRule="exact"/>
        <w:ind w:firstLine="645"/>
        <w:rPr>
          <w:rFonts w:hint="eastAsia" w:ascii="黑体" w:hAnsi="黑体" w:eastAsia="黑体" w:cs="黑体"/>
          <w:color w:val="auto"/>
          <w:sz w:val="32"/>
          <w:szCs w:val="32"/>
          <w:highlight w:val="none"/>
        </w:rPr>
      </w:pPr>
      <w:bookmarkStart w:id="31" w:name="_Toc30334_WPSOffice_Level2"/>
      <w:bookmarkStart w:id="32" w:name="_Toc23139_WPSOffice_Level2"/>
      <w:bookmarkStart w:id="33" w:name="_Toc14349_WPSOffice_Level2"/>
      <w:bookmarkStart w:id="34" w:name="_Toc25608_WPSOffice_Level2"/>
      <w:bookmarkStart w:id="35" w:name="_Toc26621_WPSOffice_Level2"/>
      <w:bookmarkStart w:id="36" w:name="_Toc28622_WPSOffice_Level2"/>
      <w:r>
        <w:rPr>
          <w:rFonts w:hint="eastAsia" w:ascii="黑体" w:hAnsi="黑体" w:eastAsia="黑体" w:cs="黑体"/>
          <w:color w:val="auto"/>
          <w:sz w:val="32"/>
          <w:szCs w:val="32"/>
          <w:highlight w:val="none"/>
        </w:rPr>
        <w:t>二、收入决算公开表</w:t>
      </w:r>
      <w:bookmarkEnd w:id="31"/>
      <w:bookmarkEnd w:id="32"/>
      <w:bookmarkEnd w:id="33"/>
      <w:bookmarkEnd w:id="34"/>
      <w:bookmarkEnd w:id="35"/>
      <w:bookmarkEnd w:id="36"/>
      <w:bookmarkStart w:id="37" w:name="_Toc14658_WPSOffice_Level2"/>
      <w:bookmarkStart w:id="38" w:name="_Toc5489_WPSOffice_Level2"/>
      <w:bookmarkStart w:id="39" w:name="_Toc17858_WPSOffice_Level2"/>
      <w:bookmarkStart w:id="40" w:name="_Toc17626_WPSOffice_Level2"/>
      <w:bookmarkStart w:id="41" w:name="_Toc13854_WPSOffice_Level2"/>
      <w:bookmarkStart w:id="42" w:name="_Toc3262_WPSOffice_Level2"/>
    </w:p>
    <w:p>
      <w:pPr>
        <w:spacing w:line="578" w:lineRule="exact"/>
        <w:ind w:firstLine="645"/>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三、支出决算公开表</w:t>
      </w:r>
      <w:bookmarkEnd w:id="37"/>
      <w:bookmarkEnd w:id="38"/>
      <w:bookmarkEnd w:id="39"/>
      <w:bookmarkEnd w:id="40"/>
      <w:bookmarkEnd w:id="41"/>
      <w:bookmarkEnd w:id="42"/>
      <w:bookmarkStart w:id="43" w:name="_Toc13701_WPSOffice_Level2"/>
      <w:bookmarkStart w:id="44" w:name="_Toc23591_WPSOffice_Level2"/>
      <w:bookmarkStart w:id="45" w:name="_Toc7988_WPSOffice_Level2"/>
      <w:bookmarkStart w:id="46" w:name="_Toc4265_WPSOffice_Level2"/>
      <w:bookmarkStart w:id="47" w:name="_Toc23493_WPSOffice_Level2"/>
      <w:bookmarkStart w:id="48" w:name="_Toc21415_WPSOffice_Level2"/>
    </w:p>
    <w:p>
      <w:pPr>
        <w:spacing w:line="578" w:lineRule="exact"/>
        <w:ind w:firstLine="645"/>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四、财政拨款收入支出决算公开表</w:t>
      </w:r>
      <w:bookmarkEnd w:id="43"/>
      <w:bookmarkEnd w:id="44"/>
      <w:bookmarkEnd w:id="45"/>
      <w:bookmarkEnd w:id="46"/>
      <w:bookmarkEnd w:id="47"/>
      <w:bookmarkEnd w:id="48"/>
    </w:p>
    <w:p>
      <w:pPr>
        <w:spacing w:line="578" w:lineRule="exact"/>
        <w:ind w:firstLine="645"/>
        <w:rPr>
          <w:rFonts w:hint="eastAsia" w:ascii="黑体" w:hAnsi="黑体" w:eastAsia="黑体" w:cs="黑体"/>
          <w:color w:val="auto"/>
          <w:sz w:val="32"/>
          <w:szCs w:val="32"/>
          <w:highlight w:val="none"/>
        </w:rPr>
      </w:pPr>
      <w:bookmarkStart w:id="49" w:name="_Toc25166_WPSOffice_Level2"/>
      <w:bookmarkStart w:id="50" w:name="_Toc23829_WPSOffice_Level2"/>
      <w:bookmarkStart w:id="51" w:name="_Toc22783_WPSOffice_Level2"/>
      <w:bookmarkStart w:id="52" w:name="_Toc7879_WPSOffice_Level2"/>
      <w:bookmarkStart w:id="53" w:name="_Toc2158_WPSOffice_Level2"/>
      <w:bookmarkStart w:id="54" w:name="_Toc13516_WPSOffice_Level2"/>
      <w:r>
        <w:rPr>
          <w:rFonts w:hint="eastAsia" w:ascii="黑体" w:hAnsi="黑体" w:eastAsia="黑体" w:cs="黑体"/>
          <w:color w:val="auto"/>
          <w:sz w:val="32"/>
          <w:szCs w:val="32"/>
          <w:highlight w:val="none"/>
        </w:rPr>
        <w:t>五、一般公共预算财政拨款收入支出决算</w:t>
      </w:r>
      <w:bookmarkEnd w:id="49"/>
      <w:bookmarkEnd w:id="50"/>
      <w:bookmarkEnd w:id="51"/>
      <w:bookmarkEnd w:id="52"/>
      <w:r>
        <w:rPr>
          <w:rFonts w:hint="eastAsia" w:ascii="黑体" w:hAnsi="黑体" w:eastAsia="黑体" w:cs="黑体"/>
          <w:color w:val="auto"/>
          <w:sz w:val="32"/>
          <w:szCs w:val="32"/>
          <w:highlight w:val="none"/>
        </w:rPr>
        <w:t>公开表</w:t>
      </w:r>
      <w:bookmarkEnd w:id="53"/>
      <w:bookmarkEnd w:id="54"/>
      <w:bookmarkStart w:id="55" w:name="_Toc17833_WPSOffice_Level2"/>
      <w:bookmarkStart w:id="56" w:name="_Toc25362_WPSOffice_Level2"/>
      <w:bookmarkStart w:id="57" w:name="_Toc2632_WPSOffice_Level2"/>
      <w:bookmarkStart w:id="58" w:name="_Toc17283_WPSOffice_Level2"/>
      <w:bookmarkStart w:id="59" w:name="_Toc8373_WPSOffice_Level2"/>
      <w:bookmarkStart w:id="60" w:name="_Toc5343_WPSOffice_Level2"/>
    </w:p>
    <w:p>
      <w:pPr>
        <w:spacing w:line="578" w:lineRule="exact"/>
        <w:ind w:firstLine="645"/>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六、一般公共预算财政拨款基本支出决算</w:t>
      </w:r>
      <w:bookmarkEnd w:id="55"/>
      <w:bookmarkEnd w:id="56"/>
      <w:bookmarkEnd w:id="57"/>
      <w:bookmarkEnd w:id="58"/>
      <w:bookmarkEnd w:id="59"/>
      <w:bookmarkEnd w:id="60"/>
      <w:r>
        <w:rPr>
          <w:rFonts w:hint="eastAsia" w:ascii="黑体" w:hAnsi="黑体" w:eastAsia="黑体" w:cs="黑体"/>
          <w:color w:val="auto"/>
          <w:sz w:val="32"/>
          <w:szCs w:val="32"/>
          <w:highlight w:val="none"/>
        </w:rPr>
        <w:t>公开表</w:t>
      </w:r>
    </w:p>
    <w:p>
      <w:pPr>
        <w:spacing w:line="578" w:lineRule="exact"/>
        <w:ind w:left="1118" w:leftChars="304" w:hanging="480" w:hangingChars="150"/>
        <w:rPr>
          <w:rFonts w:hint="eastAsia" w:ascii="黑体" w:hAnsi="黑体" w:eastAsia="黑体" w:cs="黑体"/>
          <w:color w:val="auto"/>
          <w:sz w:val="32"/>
          <w:szCs w:val="32"/>
          <w:highlight w:val="none"/>
        </w:rPr>
      </w:pPr>
      <w:bookmarkStart w:id="61" w:name="_Toc6020_WPSOffice_Level2"/>
      <w:bookmarkStart w:id="62" w:name="_Toc21310_WPSOffice_Level2"/>
      <w:bookmarkStart w:id="63" w:name="_Toc13345_WPSOffice_Level2"/>
      <w:bookmarkStart w:id="64" w:name="_Toc5594_WPSOffice_Level2"/>
      <w:bookmarkStart w:id="65" w:name="_Toc1533_WPSOffice_Level2"/>
      <w:bookmarkStart w:id="66" w:name="_Toc11799_WPSOffice_Level2"/>
      <w:r>
        <w:rPr>
          <w:rFonts w:hint="eastAsia" w:ascii="黑体" w:hAnsi="黑体" w:eastAsia="黑体" w:cs="黑体"/>
          <w:color w:val="auto"/>
          <w:sz w:val="32"/>
          <w:szCs w:val="32"/>
          <w:highlight w:val="none"/>
        </w:rPr>
        <w:t>七、政府性基金预算财政拨款收入支出决算</w:t>
      </w:r>
      <w:bookmarkEnd w:id="61"/>
      <w:bookmarkEnd w:id="62"/>
      <w:bookmarkEnd w:id="63"/>
      <w:bookmarkEnd w:id="64"/>
      <w:bookmarkEnd w:id="65"/>
      <w:bookmarkEnd w:id="66"/>
      <w:r>
        <w:rPr>
          <w:rFonts w:hint="eastAsia" w:ascii="黑体" w:hAnsi="黑体" w:eastAsia="黑体" w:cs="黑体"/>
          <w:color w:val="auto"/>
          <w:sz w:val="32"/>
          <w:szCs w:val="32"/>
          <w:highlight w:val="none"/>
        </w:rPr>
        <w:t>公开表</w:t>
      </w:r>
    </w:p>
    <w:p>
      <w:pPr>
        <w:spacing w:line="578" w:lineRule="exact"/>
        <w:ind w:left="1118" w:leftChars="304" w:hanging="480" w:hangingChars="15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八、国有资本经营预算财政拨款收入支出决算公开表</w:t>
      </w:r>
    </w:p>
    <w:p>
      <w:pPr>
        <w:spacing w:line="578" w:lineRule="exact"/>
        <w:ind w:firstLine="640"/>
        <w:rPr>
          <w:rFonts w:hint="eastAsia" w:ascii="黑体" w:hAnsi="黑体" w:eastAsia="黑体" w:cs="黑体"/>
          <w:color w:val="auto"/>
          <w:sz w:val="32"/>
          <w:szCs w:val="32"/>
          <w:highlight w:val="none"/>
        </w:rPr>
      </w:pPr>
      <w:bookmarkStart w:id="67" w:name="_Toc1820_WPSOffice_Level2"/>
      <w:bookmarkStart w:id="68" w:name="_Toc29886_WPSOffice_Level2"/>
      <w:bookmarkStart w:id="69" w:name="_Toc19961_WPSOffice_Level2"/>
      <w:bookmarkStart w:id="70" w:name="_Toc9377_WPSOffice_Level2"/>
      <w:r>
        <w:rPr>
          <w:rFonts w:hint="eastAsia" w:ascii="黑体" w:hAnsi="黑体" w:eastAsia="黑体" w:cs="黑体"/>
          <w:color w:val="auto"/>
          <w:sz w:val="32"/>
          <w:szCs w:val="32"/>
          <w:highlight w:val="none"/>
        </w:rPr>
        <w:t>九、财政拨款“三公”经费支出决算</w:t>
      </w:r>
      <w:bookmarkEnd w:id="67"/>
      <w:bookmarkEnd w:id="68"/>
      <w:bookmarkEnd w:id="69"/>
      <w:bookmarkEnd w:id="70"/>
      <w:r>
        <w:rPr>
          <w:rFonts w:hint="eastAsia" w:ascii="黑体" w:hAnsi="黑体" w:eastAsia="黑体" w:cs="黑体"/>
          <w:color w:val="auto"/>
          <w:sz w:val="32"/>
          <w:szCs w:val="32"/>
          <w:highlight w:val="none"/>
        </w:rPr>
        <w:t>公开表</w:t>
      </w:r>
    </w:p>
    <w:p>
      <w:pPr>
        <w:spacing w:line="578" w:lineRule="exact"/>
        <w:ind w:firstLine="640"/>
        <w:rPr>
          <w:rFonts w:hint="eastAsia" w:ascii="仿宋" w:hAnsi="仿宋" w:eastAsia="仿宋" w:cs="仿宋"/>
          <w:color w:val="auto"/>
          <w:w w:val="100"/>
          <w:sz w:val="32"/>
          <w:szCs w:val="32"/>
          <w:highlight w:val="none"/>
        </w:rPr>
      </w:pPr>
      <w:r>
        <w:rPr>
          <w:rFonts w:hint="eastAsia" w:ascii="仿宋" w:hAnsi="仿宋" w:eastAsia="仿宋" w:cs="仿宋"/>
          <w:color w:val="auto"/>
          <w:w w:val="100"/>
          <w:sz w:val="32"/>
          <w:szCs w:val="32"/>
          <w:highlight w:val="none"/>
        </w:rPr>
        <w:t xml:space="preserve">以上报表见附件1。   </w:t>
      </w: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rPr>
          <w:rFonts w:hint="eastAsia" w:ascii="黑体" w:hAnsi="黑体" w:eastAsia="黑体" w:cs="黑体"/>
          <w:color w:val="auto"/>
          <w:sz w:val="32"/>
          <w:szCs w:val="32"/>
          <w:highlight w:val="none"/>
        </w:rPr>
      </w:pPr>
    </w:p>
    <w:p>
      <w:pPr>
        <w:spacing w:line="578" w:lineRule="exact"/>
        <w:jc w:val="center"/>
        <w:rPr>
          <w:rFonts w:hint="eastAsia" w:ascii="黑体" w:hAnsi="ˎ̥" w:eastAsia="黑体"/>
          <w:color w:val="auto"/>
          <w:sz w:val="32"/>
          <w:szCs w:val="32"/>
          <w:highlight w:val="none"/>
        </w:rPr>
      </w:pPr>
      <w:bookmarkStart w:id="71" w:name="_Toc27590_WPSOffice_Level1"/>
      <w:bookmarkStart w:id="72" w:name="_Toc29683_WPSOffice_Level1"/>
      <w:bookmarkStart w:id="73" w:name="_Toc4402_WPSOffice_Level1"/>
      <w:bookmarkStart w:id="74" w:name="_Toc31264_WPSOffice_Level1"/>
      <w:bookmarkStart w:id="75" w:name="_Toc28629_WPSOffice_Level1"/>
      <w:bookmarkStart w:id="76" w:name="_Toc16686_WPSOffice_Level1"/>
      <w:r>
        <w:rPr>
          <w:rFonts w:hint="eastAsia" w:ascii="黑体" w:hAnsi="ˎ̥" w:eastAsia="黑体"/>
          <w:color w:val="auto"/>
          <w:sz w:val="32"/>
          <w:szCs w:val="32"/>
          <w:highlight w:val="none"/>
        </w:rPr>
        <w:t xml:space="preserve">第三部分  </w:t>
      </w:r>
      <w:r>
        <w:rPr>
          <w:rFonts w:hint="default" w:ascii="黑体" w:hAnsi="ˎ̥" w:eastAsia="黑体"/>
          <w:color w:val="auto"/>
          <w:sz w:val="32"/>
          <w:szCs w:val="32"/>
          <w:highlight w:val="none"/>
          <w:lang w:val="en-US"/>
        </w:rPr>
        <w:t>2025</w:t>
      </w:r>
      <w:r>
        <w:rPr>
          <w:rFonts w:hint="eastAsia" w:ascii="黑体" w:hAnsi="ˎ̥" w:eastAsia="黑体"/>
          <w:color w:val="auto"/>
          <w:sz w:val="32"/>
          <w:szCs w:val="32"/>
          <w:highlight w:val="none"/>
        </w:rPr>
        <w:t>年度部门决算情况说明</w:t>
      </w:r>
      <w:bookmarkEnd w:id="71"/>
      <w:bookmarkEnd w:id="72"/>
      <w:bookmarkEnd w:id="73"/>
      <w:bookmarkEnd w:id="74"/>
      <w:bookmarkEnd w:id="75"/>
      <w:bookmarkEnd w:id="76"/>
    </w:p>
    <w:p>
      <w:pPr>
        <w:spacing w:line="578" w:lineRule="exact"/>
        <w:jc w:val="center"/>
        <w:rPr>
          <w:rFonts w:hint="eastAsia" w:ascii="黑体" w:hAnsi="ˎ̥" w:eastAsia="黑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highlight w:val="none"/>
        </w:rPr>
      </w:pPr>
      <w:r>
        <w:rPr>
          <w:rFonts w:hint="eastAsia" w:ascii="黑体" w:hAnsi="黑体" w:eastAsia="黑体" w:cs="黑体"/>
          <w:bCs/>
          <w:color w:val="auto"/>
          <w:sz w:val="32"/>
          <w:szCs w:val="32"/>
          <w:highlight w:val="none"/>
        </w:rPr>
        <w:t>一、收入支出总体情况说明</w:t>
      </w:r>
      <w:r>
        <w:rPr>
          <w:rFonts w:hint="eastAsia" w:ascii="黑体" w:hAnsi="黑体" w:eastAsia="黑体" w:cs="黑体"/>
          <w:bCs/>
          <w:color w:val="auto"/>
          <w:sz w:val="32"/>
          <w:szCs w:val="32"/>
          <w:highlight w:val="none"/>
        </w:rPr>
        <w:br w:type="textWrapping"/>
      </w:r>
      <w:r>
        <w:rPr>
          <w:rFonts w:hint="eastAsia" w:ascii="楷体_GB2312" w:hAnsi="ˎ̥" w:eastAsia="楷体_GB2312"/>
          <w:color w:val="auto"/>
          <w:sz w:val="32"/>
          <w:szCs w:val="32"/>
          <w:highlight w:val="none"/>
        </w:rPr>
        <w:t xml:space="preserve">    </w:t>
      </w: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lang w:val="en-US"/>
        </w:rPr>
        <w:t>年度收入总计</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lang w:val="en-US"/>
        </w:rPr>
        <w:t>万元，支出总计</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lang w:val="en-US"/>
        </w:rPr>
        <w:t>万元，与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lang w:val="en-US"/>
        </w:rPr>
        <w:t>年度相比，收入、支出总计各减少</w:t>
      </w:r>
      <w:r>
        <w:rPr>
          <w:rFonts w:hint="eastAsia" w:ascii="仿宋_GB2312" w:hAnsi="ˎ̥" w:eastAsia="仿宋_GB2312"/>
          <w:color w:val="auto"/>
          <w:sz w:val="32"/>
          <w:szCs w:val="32"/>
          <w:highlight w:val="none"/>
          <w:lang w:val="en-US" w:eastAsia="zh-CN"/>
        </w:rPr>
        <w:t>27597.79</w:t>
      </w:r>
      <w:r>
        <w:rPr>
          <w:rFonts w:hint="eastAsia" w:ascii="仿宋_GB2312" w:hAnsi="ˎ̥" w:eastAsia="仿宋_GB2312"/>
          <w:color w:val="auto"/>
          <w:sz w:val="32"/>
          <w:szCs w:val="32"/>
          <w:highlight w:val="none"/>
          <w:lang w:val="en-US"/>
        </w:rPr>
        <w:t>万元，下降</w:t>
      </w:r>
      <w:r>
        <w:rPr>
          <w:rFonts w:hint="eastAsia" w:ascii="仿宋_GB2312" w:hAnsi="ˎ̥" w:eastAsia="仿宋_GB2312"/>
          <w:color w:val="auto"/>
          <w:sz w:val="32"/>
          <w:szCs w:val="32"/>
          <w:highlight w:val="none"/>
          <w:lang w:val="en-US" w:eastAsia="zh-CN"/>
        </w:rPr>
        <w:t>52.65</w:t>
      </w:r>
      <w:r>
        <w:rPr>
          <w:rFonts w:hint="eastAsia" w:ascii="仿宋_GB2312" w:hAnsi="ˎ̥" w:eastAsia="仿宋_GB2312"/>
          <w:color w:val="auto"/>
          <w:sz w:val="32"/>
          <w:szCs w:val="32"/>
          <w:highlight w:val="none"/>
          <w:lang w:val="en-US"/>
        </w:rPr>
        <w:t>%。主要原因：一</w:t>
      </w:r>
      <w:r>
        <w:rPr>
          <w:rFonts w:hint="eastAsia" w:ascii="仿宋_GB2312" w:hAnsi="ˎ̥" w:eastAsia="仿宋_GB2312"/>
          <w:color w:val="auto"/>
          <w:sz w:val="32"/>
          <w:szCs w:val="32"/>
          <w:highlight w:val="none"/>
          <w:lang w:val="en-US" w:eastAsia="zh-CN"/>
        </w:rPr>
        <w:t>是上年结转在建工程项目本年度陆续实施完毕，项目存量资金减少；</w:t>
      </w:r>
      <w:r>
        <w:rPr>
          <w:rFonts w:hint="eastAsia" w:ascii="仿宋_GB2312" w:hAnsi="ˎ̥" w:eastAsia="仿宋_GB2312"/>
          <w:color w:val="auto"/>
          <w:sz w:val="32"/>
          <w:szCs w:val="32"/>
          <w:highlight w:val="none"/>
          <w:lang w:val="en-US"/>
        </w:rPr>
        <w:t>二是</w:t>
      </w:r>
      <w:r>
        <w:rPr>
          <w:rFonts w:hint="eastAsia" w:ascii="仿宋_GB2312" w:hAnsi="ˎ̥" w:eastAsia="仿宋_GB2312"/>
          <w:color w:val="auto"/>
          <w:sz w:val="32"/>
          <w:szCs w:val="32"/>
          <w:highlight w:val="none"/>
          <w:lang w:val="en-US" w:eastAsia="zh-CN"/>
        </w:rPr>
        <w:t>本年度新建工程项目申报、立项进度放缓，上级下达专项项目资金规模较上年减少</w:t>
      </w:r>
      <w:r>
        <w:rPr>
          <w:rFonts w:hint="eastAsia" w:ascii="仿宋_GB2312" w:hAnsi="ˎ̥" w:eastAsia="仿宋_GB2312"/>
          <w:color w:val="auto"/>
          <w:sz w:val="32"/>
          <w:szCs w:val="32"/>
          <w:highlight w:val="none"/>
          <w:lang w:val="en-US"/>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（一</w:t>
      </w:r>
      <w:r>
        <w:rPr>
          <w:rFonts w:ascii="楷体" w:hAnsi="楷体" w:eastAsia="楷体" w:cs="楷体"/>
          <w:color w:val="auto"/>
          <w:sz w:val="32"/>
          <w:szCs w:val="32"/>
          <w:highlight w:val="none"/>
        </w:rPr>
        <w:t>）</w:t>
      </w:r>
      <w:r>
        <w:rPr>
          <w:rFonts w:hint="eastAsia" w:ascii="楷体" w:hAnsi="楷体" w:eastAsia="楷体" w:cs="楷体"/>
          <w:color w:val="auto"/>
          <w:sz w:val="32"/>
          <w:szCs w:val="32"/>
          <w:highlight w:val="none"/>
        </w:rPr>
        <w:t>收入</w:t>
      </w:r>
      <w:r>
        <w:rPr>
          <w:rFonts w:ascii="楷体" w:hAnsi="楷体" w:eastAsia="楷体" w:cs="楷体"/>
          <w:color w:val="auto"/>
          <w:sz w:val="32"/>
          <w:szCs w:val="32"/>
          <w:highlight w:val="none"/>
        </w:rPr>
        <w:t>总计</w:t>
      </w:r>
      <w:r>
        <w:rPr>
          <w:rFonts w:hint="eastAsia" w:ascii="楷体" w:hAnsi="楷体" w:eastAsia="楷体" w:cs="楷体"/>
          <w:color w:val="auto"/>
          <w:sz w:val="32"/>
          <w:szCs w:val="32"/>
          <w:highlight w:val="none"/>
        </w:rPr>
        <w:t>主要</w:t>
      </w:r>
      <w:r>
        <w:rPr>
          <w:rFonts w:ascii="楷体" w:hAnsi="楷体" w:eastAsia="楷体" w:cs="楷体"/>
          <w:color w:val="auto"/>
          <w:sz w:val="32"/>
          <w:szCs w:val="32"/>
          <w:highlight w:val="none"/>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本年</w:t>
      </w:r>
      <w:r>
        <w:rPr>
          <w:rFonts w:ascii="仿宋_GB2312" w:hAnsi="ˎ̥" w:eastAsia="仿宋_GB2312"/>
          <w:color w:val="auto"/>
          <w:sz w:val="32"/>
          <w:szCs w:val="32"/>
          <w:highlight w:val="none"/>
        </w:rPr>
        <w:t>收入</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highlight w:val="none"/>
        </w:rPr>
      </w:pPr>
      <w:r>
        <w:rPr>
          <w:rFonts w:hint="eastAsia" w:ascii="仿宋_GB2312" w:hAnsi="ˎ̥" w:eastAsia="仿宋_GB2312"/>
          <w:color w:val="auto"/>
          <w:sz w:val="32"/>
          <w:szCs w:val="32"/>
          <w:highlight w:val="none"/>
        </w:rPr>
        <w:t>使用非财政拨款结余</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highlight w:val="none"/>
        </w:rPr>
      </w:pPr>
      <w:r>
        <w:rPr>
          <w:rFonts w:hint="eastAsia" w:ascii="仿宋_GB2312" w:hAnsi="ˎ̥" w:eastAsia="仿宋_GB2312"/>
          <w:color w:val="auto"/>
          <w:sz w:val="32"/>
          <w:szCs w:val="32"/>
          <w:highlight w:val="none"/>
        </w:rPr>
        <w:t>年初结转结余</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lang w:eastAsia="zh-CN"/>
        </w:rPr>
      </w:pPr>
      <w:r>
        <w:rPr>
          <w:rFonts w:hint="eastAsia" w:ascii="楷体" w:hAnsi="楷体" w:eastAsia="楷体" w:cs="楷体"/>
          <w:color w:val="auto"/>
          <w:sz w:val="32"/>
          <w:szCs w:val="32"/>
          <w:highlight w:val="none"/>
        </w:rPr>
        <w:t>（二</w:t>
      </w:r>
      <w:r>
        <w:rPr>
          <w:rFonts w:ascii="楷体" w:hAnsi="楷体" w:eastAsia="楷体" w:cs="楷体"/>
          <w:color w:val="auto"/>
          <w:sz w:val="32"/>
          <w:szCs w:val="32"/>
          <w:highlight w:val="none"/>
        </w:rPr>
        <w:t>）</w:t>
      </w:r>
      <w:r>
        <w:rPr>
          <w:rFonts w:hint="eastAsia" w:ascii="楷体" w:hAnsi="楷体" w:eastAsia="楷体" w:cs="楷体"/>
          <w:color w:val="auto"/>
          <w:sz w:val="32"/>
          <w:szCs w:val="32"/>
          <w:highlight w:val="none"/>
        </w:rPr>
        <w:t>支出</w:t>
      </w:r>
      <w:r>
        <w:rPr>
          <w:rFonts w:ascii="楷体" w:hAnsi="楷体" w:eastAsia="楷体" w:cs="楷体"/>
          <w:color w:val="auto"/>
          <w:sz w:val="32"/>
          <w:szCs w:val="32"/>
          <w:highlight w:val="none"/>
        </w:rPr>
        <w:t>总计</w:t>
      </w:r>
      <w:r>
        <w:rPr>
          <w:rFonts w:hint="eastAsia" w:ascii="楷体" w:hAnsi="楷体" w:eastAsia="楷体" w:cs="楷体"/>
          <w:color w:val="auto"/>
          <w:sz w:val="32"/>
          <w:szCs w:val="32"/>
          <w:highlight w:val="none"/>
        </w:rPr>
        <w:t>主要</w:t>
      </w:r>
      <w:r>
        <w:rPr>
          <w:rFonts w:ascii="楷体" w:hAnsi="楷体" w:eastAsia="楷体" w:cs="楷体"/>
          <w:color w:val="auto"/>
          <w:sz w:val="32"/>
          <w:szCs w:val="32"/>
          <w:highlight w:val="none"/>
        </w:rPr>
        <w:t>构成</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本年支出</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color w:val="auto"/>
          <w:sz w:val="32"/>
          <w:szCs w:val="32"/>
          <w:highlight w:val="none"/>
        </w:rPr>
      </w:pPr>
      <w:r>
        <w:rPr>
          <w:rFonts w:hint="eastAsia" w:ascii="仿宋_GB2312" w:hAnsi="ˎ̥" w:eastAsia="仿宋_GB2312"/>
          <w:color w:val="auto"/>
          <w:sz w:val="32"/>
          <w:szCs w:val="32"/>
          <w:highlight w:val="none"/>
        </w:rPr>
        <w:t>结余分配</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年末结转结余</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黑体" w:hAnsi="黑体" w:eastAsia="黑体" w:cs="黑体"/>
          <w:bCs/>
          <w:color w:val="auto"/>
          <w:sz w:val="32"/>
          <w:szCs w:val="32"/>
          <w:highlight w:val="none"/>
        </w:rPr>
        <w:t>二、收入决算情况说明</w:t>
      </w:r>
      <w:r>
        <w:rPr>
          <w:rFonts w:hint="eastAsia" w:ascii="黑体" w:hAnsi="黑体" w:eastAsia="黑体" w:cs="黑体"/>
          <w:bCs/>
          <w:color w:val="auto"/>
          <w:sz w:val="32"/>
          <w:szCs w:val="32"/>
          <w:highlight w:val="none"/>
        </w:rPr>
        <w:br w:type="textWrapping"/>
      </w:r>
      <w:r>
        <w:rPr>
          <w:rFonts w:hint="eastAsia" w:ascii="仿宋_GB2312" w:hAnsi="ˎ̥" w:eastAsia="仿宋_GB2312"/>
          <w:color w:val="auto"/>
          <w:sz w:val="32"/>
          <w:szCs w:val="32"/>
          <w:highlight w:val="none"/>
        </w:rPr>
        <w:t xml:space="preserve">    本年收入</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rPr>
        <w:t>万元，其中：财政拨款收入</w:t>
      </w:r>
      <w:r>
        <w:rPr>
          <w:rFonts w:hint="default" w:ascii="仿宋_GB2312" w:hAnsi="ˎ̥" w:eastAsia="仿宋_GB2312"/>
          <w:color w:val="auto"/>
          <w:sz w:val="32"/>
          <w:szCs w:val="32"/>
          <w:highlight w:val="none"/>
          <w:lang w:val="en-US"/>
        </w:rPr>
        <w:t>20,042.66</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80.74</w:t>
      </w:r>
      <w:r>
        <w:rPr>
          <w:rFonts w:hint="eastAsia" w:ascii="仿宋_GB2312" w:hAnsi="ˎ̥" w:eastAsia="仿宋_GB2312"/>
          <w:color w:val="auto"/>
          <w:sz w:val="32"/>
          <w:szCs w:val="32"/>
          <w:highlight w:val="none"/>
        </w:rPr>
        <w:t>%；上级补助收入</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%；事业收入</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%；经营收入</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%；附属单位上缴收入</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%；其他收入</w:t>
      </w:r>
      <w:r>
        <w:rPr>
          <w:rFonts w:hint="default" w:ascii="仿宋_GB2312" w:hAnsi="ˎ̥" w:eastAsia="仿宋_GB2312"/>
          <w:color w:val="auto"/>
          <w:sz w:val="32"/>
          <w:szCs w:val="32"/>
          <w:highlight w:val="none"/>
          <w:lang w:val="en-US"/>
        </w:rPr>
        <w:t>4,780.35</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19.26</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本年支出</w:t>
      </w:r>
      <w:r>
        <w:rPr>
          <w:rFonts w:hint="default" w:ascii="仿宋_GB2312" w:hAnsi="ˎ̥" w:eastAsia="仿宋_GB2312"/>
          <w:color w:val="auto"/>
          <w:sz w:val="32"/>
          <w:szCs w:val="32"/>
          <w:highlight w:val="none"/>
          <w:lang w:val="en-US"/>
        </w:rPr>
        <w:t>24,823.01</w:t>
      </w:r>
      <w:r>
        <w:rPr>
          <w:rFonts w:hint="eastAsia" w:ascii="仿宋_GB2312" w:hAnsi="ˎ̥" w:eastAsia="仿宋_GB2312"/>
          <w:color w:val="auto"/>
          <w:sz w:val="32"/>
          <w:szCs w:val="32"/>
          <w:highlight w:val="none"/>
        </w:rPr>
        <w:t>万元，其中：基本支出</w:t>
      </w:r>
      <w:r>
        <w:rPr>
          <w:rFonts w:hint="default" w:ascii="仿宋_GB2312" w:hAnsi="ˎ̥" w:eastAsia="仿宋_GB2312"/>
          <w:color w:val="auto"/>
          <w:sz w:val="32"/>
          <w:szCs w:val="32"/>
          <w:highlight w:val="none"/>
          <w:lang w:val="en-US"/>
        </w:rPr>
        <w:t>352.31</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1.42</w:t>
      </w:r>
      <w:r>
        <w:rPr>
          <w:rFonts w:hint="eastAsia" w:ascii="仿宋_GB2312" w:hAnsi="ˎ̥" w:eastAsia="仿宋_GB2312"/>
          <w:color w:val="auto"/>
          <w:sz w:val="32"/>
          <w:szCs w:val="32"/>
          <w:highlight w:val="none"/>
        </w:rPr>
        <w:t>%；项目支出</w:t>
      </w:r>
      <w:r>
        <w:rPr>
          <w:rFonts w:hint="default" w:ascii="仿宋_GB2312" w:hAnsi="ˎ̥" w:eastAsia="仿宋_GB2312"/>
          <w:color w:val="auto"/>
          <w:sz w:val="32"/>
          <w:szCs w:val="32"/>
          <w:highlight w:val="none"/>
          <w:lang w:val="en-US"/>
        </w:rPr>
        <w:t>24,470.70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98.58</w:t>
      </w:r>
      <w:r>
        <w:rPr>
          <w:rFonts w:hint="eastAsia" w:ascii="仿宋_GB2312" w:hAnsi="ˎ̥" w:eastAsia="仿宋_GB2312"/>
          <w:color w:val="auto"/>
          <w:sz w:val="32"/>
          <w:szCs w:val="32"/>
          <w:highlight w:val="none"/>
        </w:rPr>
        <w:t>%；上缴上级支出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%；经营支出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%；对附属单位补助支出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四、财政拨款收入支出决算总体情况说明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年度财政拨款收入</w:t>
      </w:r>
      <w:r>
        <w:rPr>
          <w:rFonts w:hint="default" w:ascii="仿宋_GB2312" w:hAnsi="ˎ̥" w:eastAsia="仿宋_GB2312"/>
          <w:color w:val="auto"/>
          <w:sz w:val="32"/>
          <w:szCs w:val="32"/>
          <w:highlight w:val="none"/>
          <w:lang w:val="en-US"/>
        </w:rPr>
        <w:t>20,042.66</w:t>
      </w:r>
      <w:r>
        <w:rPr>
          <w:rFonts w:hint="eastAsia" w:ascii="仿宋_GB2312" w:hAnsi="ˎ̥" w:eastAsia="仿宋_GB2312"/>
          <w:color w:val="auto"/>
          <w:sz w:val="32"/>
          <w:szCs w:val="32"/>
          <w:highlight w:val="none"/>
        </w:rPr>
        <w:t>万元，支出</w:t>
      </w:r>
      <w:r>
        <w:rPr>
          <w:rFonts w:hint="default" w:ascii="仿宋_GB2312" w:hAnsi="ˎ̥" w:eastAsia="仿宋_GB2312"/>
          <w:color w:val="auto"/>
          <w:sz w:val="32"/>
          <w:szCs w:val="32"/>
          <w:highlight w:val="none"/>
          <w:lang w:val="en-US"/>
        </w:rPr>
        <w:t>20,042.66</w:t>
      </w:r>
      <w:r>
        <w:rPr>
          <w:rFonts w:hint="eastAsia" w:ascii="仿宋_GB2312" w:hAnsi="ˎ̥" w:eastAsia="仿宋_GB2312"/>
          <w:color w:val="auto"/>
          <w:sz w:val="32"/>
          <w:szCs w:val="32"/>
          <w:highlight w:val="none"/>
        </w:rPr>
        <w:t>万元。与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年度相比，财政拨款收入减少</w:t>
      </w:r>
      <w:r>
        <w:rPr>
          <w:rFonts w:hint="eastAsia" w:ascii="仿宋_GB2312" w:hAnsi="ˎ̥" w:eastAsia="仿宋_GB2312"/>
          <w:color w:val="auto"/>
          <w:sz w:val="32"/>
          <w:szCs w:val="32"/>
          <w:highlight w:val="none"/>
          <w:lang w:val="en-US" w:eastAsia="zh-CN"/>
        </w:rPr>
        <w:t>28471.55</w:t>
      </w:r>
      <w:r>
        <w:rPr>
          <w:rFonts w:hint="eastAsia" w:ascii="仿宋_GB2312" w:hAnsi="ˎ̥" w:eastAsia="仿宋_GB2312"/>
          <w:color w:val="auto"/>
          <w:sz w:val="32"/>
          <w:szCs w:val="32"/>
          <w:highlight w:val="none"/>
        </w:rPr>
        <w:t>万元，下降</w:t>
      </w:r>
      <w:r>
        <w:rPr>
          <w:rFonts w:hint="eastAsia" w:ascii="仿宋_GB2312" w:hAnsi="ˎ̥" w:eastAsia="仿宋_GB2312"/>
          <w:color w:val="auto"/>
          <w:sz w:val="32"/>
          <w:szCs w:val="32"/>
          <w:highlight w:val="none"/>
          <w:lang w:val="en-US" w:eastAsia="zh-CN"/>
        </w:rPr>
        <w:t>58.69</w:t>
      </w:r>
      <w:r>
        <w:rPr>
          <w:rFonts w:hint="eastAsia" w:ascii="仿宋_GB2312" w:hAnsi="ˎ̥" w:eastAsia="仿宋_GB2312"/>
          <w:color w:val="auto"/>
          <w:sz w:val="32"/>
          <w:szCs w:val="32"/>
          <w:highlight w:val="none"/>
        </w:rPr>
        <w:t>%，主要原因：</w:t>
      </w:r>
      <w:r>
        <w:rPr>
          <w:rFonts w:hint="eastAsia" w:ascii="仿宋_GB2312" w:hAnsi="ˎ̥" w:eastAsia="仿宋_GB2312"/>
          <w:color w:val="auto"/>
          <w:sz w:val="32"/>
          <w:szCs w:val="32"/>
          <w:highlight w:val="none"/>
          <w:lang w:val="en-US" w:eastAsia="zh-CN"/>
        </w:rPr>
        <w:t>2024年项目投资额度较大，本年度项目投资规模有所缩减</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财政拨款年初结转结余</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较</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年度决算数增加（减少）</w:t>
      </w:r>
      <w:r>
        <w:rPr>
          <w:rFonts w:hint="eastAsia" w:ascii="仿宋_GB2312" w:hAnsi="ˎ̥" w:eastAsia="仿宋_GB2312"/>
          <w:color w:val="auto"/>
          <w:sz w:val="32"/>
          <w:szCs w:val="32"/>
          <w:highlight w:val="none"/>
          <w:lang w:val="en-US" w:eastAsia="zh-CN"/>
        </w:rPr>
        <w:t>765.12</w:t>
      </w:r>
      <w:r>
        <w:rPr>
          <w:rFonts w:hint="eastAsia" w:ascii="仿宋_GB2312" w:hAnsi="ˎ̥" w:eastAsia="仿宋_GB2312"/>
          <w:color w:val="auto"/>
          <w:sz w:val="32"/>
          <w:szCs w:val="32"/>
          <w:highlight w:val="none"/>
        </w:rPr>
        <w:t>万元，增长（下降）</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%，主要原因</w:t>
      </w:r>
      <w:r>
        <w:rPr>
          <w:rFonts w:hint="eastAsia" w:ascii="仿宋_GB2312" w:hAnsi="ˎ̥" w:eastAsia="仿宋_GB2312"/>
          <w:color w:val="auto"/>
          <w:sz w:val="32"/>
          <w:szCs w:val="32"/>
          <w:highlight w:val="none"/>
          <w:lang w:val="en-US" w:eastAsia="zh-CN"/>
        </w:rPr>
        <w:t>2024年存在一般公共预算财政拨款结转资金，本年无期初结转余资金</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财政拨款年末结转结余</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万元，主要是</w:t>
      </w:r>
      <w:r>
        <w:rPr>
          <w:rFonts w:hint="eastAsia" w:ascii="仿宋_GB2312" w:hAnsi="ˎ̥" w:eastAsia="仿宋_GB2312"/>
          <w:color w:val="auto"/>
          <w:sz w:val="32"/>
          <w:szCs w:val="32"/>
          <w:highlight w:val="none"/>
          <w:lang w:val="en-US" w:eastAsia="zh-CN"/>
        </w:rPr>
        <w:t>完成全年资金支出</w:t>
      </w:r>
      <w:r>
        <w:rPr>
          <w:rFonts w:hint="eastAsia" w:ascii="仿宋_GB2312" w:hAnsi="ˎ̥" w:eastAsia="仿宋_GB2312"/>
          <w:color w:val="auto"/>
          <w:sz w:val="32"/>
          <w:szCs w:val="32"/>
          <w:highlight w:val="none"/>
        </w:rPr>
        <w:t>，较</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年度决算数</w:t>
      </w:r>
      <w:r>
        <w:rPr>
          <w:rFonts w:hint="eastAsia" w:ascii="仿宋_GB2312" w:hAnsi="ˎ̥" w:eastAsia="仿宋_GB2312"/>
          <w:color w:val="auto"/>
          <w:sz w:val="32"/>
          <w:szCs w:val="32"/>
          <w:highlight w:val="none"/>
          <w:lang w:val="en-US" w:eastAsia="zh-CN"/>
        </w:rPr>
        <w:t>持平</w:t>
      </w:r>
      <w:r>
        <w:rPr>
          <w:rFonts w:hint="eastAsia" w:ascii="仿宋_GB2312" w:hAnsi="ˎ̥" w:eastAsia="仿宋_GB2312"/>
          <w:color w:val="auto"/>
          <w:sz w:val="32"/>
          <w:szCs w:val="32"/>
          <w:highlight w:val="none"/>
        </w:rPr>
        <w:t>，增</w:t>
      </w:r>
      <w:r>
        <w:rPr>
          <w:rFonts w:hint="eastAsia" w:ascii="仿宋_GB2312" w:hAnsi="ˎ̥" w:eastAsia="仿宋_GB2312"/>
          <w:color w:val="auto"/>
          <w:sz w:val="32"/>
          <w:szCs w:val="32"/>
          <w:highlight w:val="none"/>
          <w:lang w:val="en-US" w:eastAsia="zh-CN"/>
        </w:rPr>
        <w:t>减变动为0</w:t>
      </w:r>
      <w:r>
        <w:rPr>
          <w:rFonts w:hint="eastAsia"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本年度财政拨款资金当年全部执行到位，无年末结转结余</w:t>
      </w:r>
      <w:r>
        <w:rPr>
          <w:rFonts w:hint="eastAsia" w:ascii="仿宋_GB2312" w:hAnsi="ˎ̥" w:eastAsia="仿宋_GB2312"/>
          <w:color w:val="auto"/>
          <w:sz w:val="32"/>
          <w:szCs w:val="32"/>
          <w:highlight w:val="none"/>
        </w:rPr>
        <w:t>。</w:t>
      </w:r>
    </w:p>
    <w:p>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一般公共预算财政拨款支出决算情况说明</w:t>
      </w:r>
      <w:bookmarkStart w:id="77" w:name="_Toc9989_WPSOffice_Level2"/>
      <w:bookmarkStart w:id="78" w:name="_Toc13694_WPSOffice_Level2"/>
      <w:bookmarkStart w:id="79" w:name="_Toc23005_WPSOffice_Level2"/>
      <w:bookmarkStart w:id="80" w:name="_Toc17398_WPSOffice_Level2"/>
      <w:bookmarkStart w:id="81" w:name="_Toc21737_WPSOffice_Level2"/>
      <w:bookmarkStart w:id="82" w:name="_Toc19665_WPSOffice_Level2"/>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（一）一般公共预算财政拨款支出决算总体情况</w:t>
      </w:r>
      <w:bookmarkEnd w:id="77"/>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年度一般公共预算财政拨款支出</w:t>
      </w:r>
      <w:r>
        <w:rPr>
          <w:rFonts w:hint="default" w:ascii="仿宋_GB2312" w:hAnsi="ˎ̥" w:eastAsia="仿宋_GB2312"/>
          <w:color w:val="auto"/>
          <w:sz w:val="32"/>
          <w:szCs w:val="32"/>
          <w:highlight w:val="none"/>
          <w:lang w:val="en-US"/>
        </w:rPr>
        <w:t>12,140.82</w:t>
      </w:r>
      <w:r>
        <w:rPr>
          <w:rFonts w:hint="eastAsia" w:ascii="仿宋_GB2312" w:hAnsi="ˎ̥" w:eastAsia="仿宋_GB2312"/>
          <w:color w:val="auto"/>
          <w:sz w:val="32"/>
          <w:szCs w:val="32"/>
          <w:highlight w:val="none"/>
        </w:rPr>
        <w:t>万元，占本年支出合计的</w:t>
      </w:r>
      <w:r>
        <w:rPr>
          <w:rFonts w:hint="eastAsia" w:ascii="仿宋_GB2312" w:hAnsi="ˎ̥" w:eastAsia="仿宋_GB2312"/>
          <w:color w:val="auto"/>
          <w:sz w:val="32"/>
          <w:szCs w:val="32"/>
          <w:highlight w:val="none"/>
          <w:lang w:val="en-US" w:eastAsia="zh-CN"/>
        </w:rPr>
        <w:t>60.57</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年度相比，一般公共预算财政拨款支出减少</w:t>
      </w:r>
      <w:r>
        <w:rPr>
          <w:rFonts w:hint="eastAsia" w:ascii="仿宋_GB2312" w:hAnsi="ˎ̥" w:eastAsia="仿宋_GB2312"/>
          <w:color w:val="auto"/>
          <w:sz w:val="32"/>
          <w:szCs w:val="32"/>
          <w:highlight w:val="none"/>
          <w:lang w:val="en-US" w:eastAsia="zh-CN"/>
        </w:rPr>
        <w:t>23289.82</w:t>
      </w:r>
      <w:r>
        <w:rPr>
          <w:rFonts w:hint="eastAsia" w:ascii="仿宋_GB2312" w:hAnsi="ˎ̥" w:eastAsia="仿宋_GB2312"/>
          <w:color w:val="auto"/>
          <w:sz w:val="32"/>
          <w:szCs w:val="32"/>
          <w:highlight w:val="none"/>
        </w:rPr>
        <w:t>万元，下降</w:t>
      </w:r>
      <w:r>
        <w:rPr>
          <w:rFonts w:hint="eastAsia" w:ascii="仿宋_GB2312" w:hAnsi="ˎ̥" w:eastAsia="仿宋_GB2312"/>
          <w:color w:val="auto"/>
          <w:sz w:val="32"/>
          <w:szCs w:val="32"/>
          <w:highlight w:val="none"/>
          <w:lang w:val="en-US" w:eastAsia="zh-CN"/>
        </w:rPr>
        <w:t>65.73</w:t>
      </w:r>
      <w:r>
        <w:rPr>
          <w:rFonts w:hint="eastAsia"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本年度在建项目投资规模缩减，项目资金投入减少</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bookmarkStart w:id="83" w:name="_Toc18793_WPSOffice_Level2"/>
      <w:bookmarkStart w:id="84" w:name="_Toc2711_WPSOffice_Level2"/>
      <w:bookmarkStart w:id="85" w:name="_Toc23864_WPSOffice_Level2"/>
      <w:bookmarkStart w:id="86" w:name="_Toc19075_WPSOffice_Level2"/>
      <w:bookmarkStart w:id="87" w:name="_Toc27767_WPSOffice_Level2"/>
      <w:bookmarkStart w:id="88" w:name="_Toc19535_WPSOffice_Level2"/>
      <w:r>
        <w:rPr>
          <w:rFonts w:hint="eastAsia" w:ascii="楷体" w:hAnsi="楷体" w:eastAsia="楷体" w:cs="楷体"/>
          <w:color w:val="auto"/>
          <w:sz w:val="32"/>
          <w:szCs w:val="32"/>
          <w:highlight w:val="none"/>
        </w:rPr>
        <w:t>（二）一般公共预算财政拨款支出决算结构情况</w:t>
      </w:r>
      <w:bookmarkEnd w:id="83"/>
      <w:bookmarkEnd w:id="84"/>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val="0"/>
          <w:bCs/>
          <w:color w:val="auto"/>
          <w:sz w:val="32"/>
          <w:szCs w:val="32"/>
          <w:highlight w:val="none"/>
          <w:lang w:val="en-US" w:eastAsia="zh-CN"/>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年度一般公共预算财政拨款支出</w:t>
      </w:r>
      <w:r>
        <w:rPr>
          <w:rFonts w:hint="default" w:ascii="仿宋_GB2312" w:hAnsi="ˎ̥" w:eastAsia="仿宋_GB2312"/>
          <w:color w:val="auto"/>
          <w:sz w:val="32"/>
          <w:szCs w:val="32"/>
          <w:highlight w:val="none"/>
          <w:lang w:val="en-US"/>
        </w:rPr>
        <w:t>12,140.82</w:t>
      </w:r>
      <w:r>
        <w:rPr>
          <w:rFonts w:hint="eastAsia" w:ascii="仿宋_GB2312" w:hAnsi="ˎ̥" w:eastAsia="仿宋_GB2312"/>
          <w:color w:val="auto"/>
          <w:sz w:val="32"/>
          <w:szCs w:val="32"/>
          <w:highlight w:val="none"/>
        </w:rPr>
        <w:t>万元，主要用于以下方面：</w:t>
      </w:r>
      <w:r>
        <w:rPr>
          <w:rFonts w:hint="eastAsia" w:ascii="仿宋_GB2312" w:hAnsi="ˎ̥" w:eastAsia="仿宋_GB2312"/>
          <w:b/>
          <w:color w:val="auto"/>
          <w:sz w:val="32"/>
          <w:szCs w:val="32"/>
          <w:highlight w:val="none"/>
        </w:rPr>
        <w:t>一般公共服务（类）</w:t>
      </w:r>
      <w:r>
        <w:rPr>
          <w:rFonts w:hint="eastAsia" w:ascii="仿宋_GB2312" w:hAnsi="ˎ̥" w:eastAsia="仿宋_GB2312"/>
          <w:color w:val="auto"/>
          <w:sz w:val="32"/>
          <w:szCs w:val="32"/>
          <w:highlight w:val="none"/>
        </w:rPr>
        <w:t>支出</w:t>
      </w:r>
      <w:r>
        <w:rPr>
          <w:rFonts w:hint="eastAsia" w:ascii="仿宋_GB2312" w:hAnsi="ˎ̥" w:eastAsia="仿宋_GB2312"/>
          <w:color w:val="auto"/>
          <w:sz w:val="32"/>
          <w:szCs w:val="32"/>
          <w:highlight w:val="none"/>
          <w:lang w:val="en-US" w:eastAsia="zh-CN"/>
        </w:rPr>
        <w:t>15.84</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0.13</w:t>
      </w:r>
      <w:r>
        <w:rPr>
          <w:rFonts w:hint="eastAsia" w:ascii="仿宋_GB2312" w:hAnsi="ˎ̥" w:eastAsia="仿宋_GB2312"/>
          <w:color w:val="auto"/>
          <w:sz w:val="32"/>
          <w:szCs w:val="32"/>
          <w:highlight w:val="none"/>
        </w:rPr>
        <w:t>%；</w:t>
      </w:r>
      <w:r>
        <w:rPr>
          <w:rFonts w:hint="eastAsia" w:ascii="仿宋_GB2312" w:hAnsi="ˎ̥" w:eastAsia="仿宋_GB2312"/>
          <w:b/>
          <w:color w:val="auto"/>
          <w:sz w:val="32"/>
          <w:szCs w:val="32"/>
          <w:highlight w:val="none"/>
        </w:rPr>
        <w:t>社会保障和就业（类）</w:t>
      </w:r>
      <w:r>
        <w:rPr>
          <w:rFonts w:hint="eastAsia" w:ascii="仿宋_GB2312" w:hAnsi="ˎ̥" w:eastAsia="仿宋_GB2312"/>
          <w:color w:val="auto"/>
          <w:sz w:val="32"/>
          <w:szCs w:val="32"/>
          <w:highlight w:val="none"/>
        </w:rPr>
        <w:t>支出</w:t>
      </w:r>
      <w:r>
        <w:rPr>
          <w:rFonts w:hint="eastAsia" w:ascii="仿宋_GB2312" w:hAnsi="ˎ̥" w:eastAsia="仿宋_GB2312"/>
          <w:color w:val="auto"/>
          <w:sz w:val="32"/>
          <w:szCs w:val="32"/>
          <w:highlight w:val="none"/>
          <w:lang w:val="en-US" w:eastAsia="zh-CN"/>
        </w:rPr>
        <w:t>13.62</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0.11</w:t>
      </w:r>
      <w:r>
        <w:rPr>
          <w:rFonts w:hint="eastAsia" w:ascii="仿宋_GB2312" w:hAnsi="ˎ̥" w:eastAsia="仿宋_GB2312"/>
          <w:color w:val="auto"/>
          <w:sz w:val="32"/>
          <w:szCs w:val="32"/>
          <w:highlight w:val="none"/>
        </w:rPr>
        <w:t>%；</w:t>
      </w:r>
      <w:r>
        <w:rPr>
          <w:rFonts w:hint="eastAsia" w:ascii="仿宋_GB2312" w:hAnsi="ˎ̥" w:eastAsia="仿宋_GB2312"/>
          <w:b/>
          <w:color w:val="auto"/>
          <w:sz w:val="32"/>
          <w:szCs w:val="32"/>
          <w:highlight w:val="none"/>
          <w:lang w:val="en-US" w:eastAsia="zh-CN"/>
        </w:rPr>
        <w:t>卫生健康</w:t>
      </w:r>
      <w:r>
        <w:rPr>
          <w:rFonts w:hint="eastAsia" w:ascii="仿宋_GB2312" w:hAnsi="ˎ̥" w:eastAsia="仿宋_GB2312"/>
          <w:b/>
          <w:color w:val="auto"/>
          <w:sz w:val="32"/>
          <w:szCs w:val="32"/>
          <w:highlight w:val="none"/>
        </w:rPr>
        <w:t>（类）</w:t>
      </w:r>
      <w:r>
        <w:rPr>
          <w:rFonts w:hint="eastAsia" w:ascii="仿宋_GB2312" w:hAnsi="ˎ̥" w:eastAsia="仿宋_GB2312"/>
          <w:b/>
          <w:color w:val="auto"/>
          <w:sz w:val="32"/>
          <w:szCs w:val="32"/>
          <w:highlight w:val="none"/>
          <w:lang w:val="en-US" w:eastAsia="zh-CN"/>
        </w:rPr>
        <w:t>支出</w:t>
      </w:r>
      <w:r>
        <w:rPr>
          <w:rFonts w:hint="eastAsia" w:ascii="仿宋_GB2312" w:hAnsi="ˎ̥" w:eastAsia="仿宋_GB2312"/>
          <w:b w:val="0"/>
          <w:bCs/>
          <w:color w:val="auto"/>
          <w:sz w:val="32"/>
          <w:szCs w:val="32"/>
          <w:highlight w:val="none"/>
          <w:lang w:val="en-US" w:eastAsia="zh-CN"/>
        </w:rPr>
        <w:t>9.40万元，占0.08</w:t>
      </w:r>
      <w:r>
        <w:rPr>
          <w:rFonts w:hint="eastAsia" w:ascii="仿宋_GB2312" w:hAnsi="ˎ̥" w:eastAsia="仿宋_GB2312"/>
          <w:b w:val="0"/>
          <w:bCs/>
          <w:color w:val="auto"/>
          <w:sz w:val="32"/>
          <w:szCs w:val="32"/>
          <w:highlight w:val="none"/>
          <w:lang w:val="en-US" w:eastAsia="zh-CN"/>
        </w:rPr>
        <w:t>%；节能环保(类)支出132.79万元；占1.09%;城乡社区(类)支出3313.54万元，占27.30%;住房保障(类)支出6255.91万元，占51.53%；债务付息支出(类)支出2394.71万元，占19.72%。</w:t>
      </w:r>
      <w:bookmarkStart w:id="89" w:name="_Toc15415_WPSOffice_Level2"/>
      <w:bookmarkStart w:id="90" w:name="_Toc22318_WPSOffice_Level2"/>
      <w:bookmarkStart w:id="91" w:name="_Toc21701_WPSOffice_Level2"/>
      <w:bookmarkStart w:id="92" w:name="_Toc29364_WPSOffice_Level2"/>
      <w:bookmarkStart w:id="93" w:name="_Toc25136_WPSOffice_Level2"/>
      <w:bookmarkStart w:id="94" w:name="_Toc9502_WPSOffice_Level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（三）一般公共预算财政拨款支出决算具体情况</w:t>
      </w:r>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年度一般公共预算财政拨款支出年初预算为</w:t>
      </w:r>
      <w:r>
        <w:rPr>
          <w:rFonts w:hint="default" w:ascii="仿宋_GB2312" w:hAnsi="ˎ̥" w:eastAsia="仿宋_GB2312"/>
          <w:color w:val="auto"/>
          <w:sz w:val="32"/>
          <w:szCs w:val="32"/>
          <w:highlight w:val="none"/>
          <w:lang w:val="en-US"/>
        </w:rPr>
        <w:t>12,140.82</w:t>
      </w:r>
      <w:r>
        <w:rPr>
          <w:rFonts w:hint="eastAsia" w:ascii="仿宋_GB2312" w:hAnsi="ˎ̥" w:eastAsia="仿宋_GB2312"/>
          <w:color w:val="auto"/>
          <w:sz w:val="32"/>
          <w:szCs w:val="32"/>
          <w:highlight w:val="none"/>
        </w:rPr>
        <w:t>万元，支出决算为</w:t>
      </w:r>
      <w:r>
        <w:rPr>
          <w:rFonts w:hint="default" w:ascii="仿宋_GB2312" w:hAnsi="ˎ̥" w:eastAsia="仿宋_GB2312"/>
          <w:color w:val="auto"/>
          <w:sz w:val="32"/>
          <w:szCs w:val="32"/>
          <w:highlight w:val="none"/>
          <w:lang w:val="en-US"/>
        </w:rPr>
        <w:t>12,140.82</w:t>
      </w:r>
      <w:r>
        <w:rPr>
          <w:rFonts w:hint="eastAsia" w:ascii="仿宋_GB2312" w:hAnsi="ˎ̥" w:eastAsia="仿宋_GB2312"/>
          <w:color w:val="auto"/>
          <w:sz w:val="32"/>
          <w:szCs w:val="32"/>
          <w:highlight w:val="none"/>
        </w:rPr>
        <w:t>万元，完成年初预算的</w:t>
      </w:r>
      <w:r>
        <w:rPr>
          <w:rFonts w:hint="eastAsia" w:ascii="仿宋_GB2312" w:hAnsi="ˎ̥" w:eastAsia="仿宋_GB2312"/>
          <w:color w:val="auto"/>
          <w:sz w:val="32"/>
          <w:szCs w:val="32"/>
          <w:highlight w:val="none"/>
          <w:lang w:val="en-US" w:eastAsia="zh-CN"/>
        </w:rPr>
        <w:t>3755.05</w:t>
      </w:r>
      <w:r>
        <w:rPr>
          <w:rFonts w:hint="eastAsia" w:ascii="仿宋_GB2312" w:hAnsi="ˎ̥" w:eastAsia="仿宋_GB2312"/>
          <w:color w:val="auto"/>
          <w:sz w:val="32"/>
          <w:szCs w:val="32"/>
          <w:highlight w:val="none"/>
        </w:rPr>
        <w:t>%。其中：</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
          <w:color w:val="auto"/>
          <w:sz w:val="32"/>
          <w:szCs w:val="32"/>
          <w:highlight w:val="none"/>
        </w:rPr>
      </w:pPr>
      <w:r>
        <w:rPr>
          <w:rFonts w:hint="eastAsia" w:ascii="仿宋_GB2312" w:hAnsi="ˎ̥" w:eastAsia="仿宋_GB2312"/>
          <w:color w:val="auto"/>
          <w:sz w:val="32"/>
          <w:szCs w:val="32"/>
          <w:highlight w:val="none"/>
        </w:rPr>
        <w:t>1.</w:t>
      </w:r>
      <w:r>
        <w:rPr>
          <w:rFonts w:hint="eastAsia" w:ascii="仿宋_GB2312" w:hAnsi="ˎ̥" w:eastAsia="仿宋_GB2312"/>
          <w:b/>
          <w:color w:val="auto"/>
          <w:sz w:val="32"/>
          <w:szCs w:val="32"/>
          <w:highlight w:val="none"/>
        </w:rPr>
        <w:t>一般公共服务（类）人大事务（款）行政运行（项）。</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年初预算为</w:t>
      </w:r>
      <w:r>
        <w:rPr>
          <w:rFonts w:hint="default" w:ascii="仿宋_GB2312" w:hAnsi="ˎ̥" w:eastAsia="仿宋_GB2312"/>
          <w:color w:val="auto"/>
          <w:sz w:val="32"/>
          <w:szCs w:val="32"/>
          <w:highlight w:val="none"/>
          <w:lang w:val="en-US"/>
        </w:rPr>
        <w:t>12,140.82</w:t>
      </w:r>
      <w:r>
        <w:rPr>
          <w:rFonts w:hint="eastAsia" w:ascii="仿宋_GB2312" w:hAnsi="ˎ̥" w:eastAsia="仿宋_GB2312"/>
          <w:color w:val="auto"/>
          <w:sz w:val="32"/>
          <w:szCs w:val="32"/>
          <w:highlight w:val="none"/>
        </w:rPr>
        <w:t>万元，支出决算为</w:t>
      </w:r>
      <w:r>
        <w:rPr>
          <w:rFonts w:hint="eastAsia" w:ascii="仿宋_GB2312" w:hAnsi="ˎ̥" w:eastAsia="仿宋_GB2312"/>
          <w:color w:val="auto"/>
          <w:sz w:val="32"/>
          <w:szCs w:val="32"/>
          <w:highlight w:val="none"/>
          <w:lang w:val="en-US" w:eastAsia="zh-CN"/>
        </w:rPr>
        <w:t>12140.82</w:t>
      </w:r>
      <w:r>
        <w:rPr>
          <w:rFonts w:hint="eastAsia" w:ascii="仿宋_GB2312" w:hAnsi="ˎ̥" w:eastAsia="仿宋_GB2312"/>
          <w:color w:val="auto"/>
          <w:sz w:val="32"/>
          <w:szCs w:val="32"/>
          <w:highlight w:val="none"/>
        </w:rPr>
        <w:t>万元，完成年初预算的</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%。决算数大于（小于）预算数的主要原因：</w:t>
      </w:r>
      <w:r>
        <w:rPr>
          <w:rFonts w:hint="eastAsia" w:ascii="仿宋_GB2312" w:hAnsi="ˎ̥" w:eastAsia="仿宋_GB2312"/>
          <w:b/>
          <w:color w:val="auto"/>
          <w:sz w:val="32"/>
          <w:szCs w:val="32"/>
          <w:highlight w:val="none"/>
        </w:rPr>
        <w:t>社会保障和就业（类）</w:t>
      </w:r>
      <w:r>
        <w:rPr>
          <w:rFonts w:hint="eastAsia" w:ascii="仿宋_GB2312" w:hAnsi="ˎ̥" w:eastAsia="仿宋_GB2312"/>
          <w:color w:val="auto"/>
          <w:sz w:val="32"/>
          <w:szCs w:val="32"/>
          <w:highlight w:val="none"/>
        </w:rPr>
        <w:t>支出</w:t>
      </w:r>
      <w:r>
        <w:rPr>
          <w:rFonts w:hint="eastAsia" w:ascii="仿宋_GB2312" w:hAnsi="ˎ̥" w:eastAsia="仿宋_GB2312"/>
          <w:color w:val="auto"/>
          <w:sz w:val="32"/>
          <w:szCs w:val="32"/>
          <w:highlight w:val="none"/>
          <w:lang w:val="en-US" w:eastAsia="zh-CN"/>
        </w:rPr>
        <w:t>13.62</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0.11</w:t>
      </w:r>
      <w:r>
        <w:rPr>
          <w:rFonts w:hint="eastAsia" w:ascii="仿宋_GB2312" w:hAnsi="ˎ̥" w:eastAsia="仿宋_GB2312"/>
          <w:color w:val="auto"/>
          <w:sz w:val="32"/>
          <w:szCs w:val="32"/>
          <w:highlight w:val="none"/>
        </w:rPr>
        <w:t>%；</w:t>
      </w:r>
      <w:r>
        <w:rPr>
          <w:rFonts w:hint="eastAsia" w:ascii="仿宋_GB2312" w:hAnsi="ˎ̥" w:eastAsia="仿宋_GB2312"/>
          <w:b/>
          <w:color w:val="auto"/>
          <w:sz w:val="32"/>
          <w:szCs w:val="32"/>
          <w:highlight w:val="none"/>
          <w:lang w:val="en-US" w:eastAsia="zh-CN"/>
        </w:rPr>
        <w:t>卫生健康</w:t>
      </w:r>
      <w:r>
        <w:rPr>
          <w:rFonts w:hint="eastAsia" w:ascii="仿宋_GB2312" w:hAnsi="ˎ̥" w:eastAsia="仿宋_GB2312"/>
          <w:b/>
          <w:color w:val="auto"/>
          <w:sz w:val="32"/>
          <w:szCs w:val="32"/>
          <w:highlight w:val="none"/>
        </w:rPr>
        <w:t>（类）</w:t>
      </w:r>
      <w:r>
        <w:rPr>
          <w:rFonts w:hint="eastAsia" w:ascii="仿宋_GB2312" w:hAnsi="ˎ̥" w:eastAsia="仿宋_GB2312"/>
          <w:b/>
          <w:color w:val="auto"/>
          <w:sz w:val="32"/>
          <w:szCs w:val="32"/>
          <w:highlight w:val="none"/>
          <w:lang w:val="en-US" w:eastAsia="zh-CN"/>
        </w:rPr>
        <w:t>支出</w:t>
      </w:r>
      <w:r>
        <w:rPr>
          <w:rFonts w:hint="eastAsia" w:ascii="仿宋_GB2312" w:hAnsi="ˎ̥" w:eastAsia="仿宋_GB2312"/>
          <w:b w:val="0"/>
          <w:bCs/>
          <w:color w:val="auto"/>
          <w:sz w:val="32"/>
          <w:szCs w:val="32"/>
          <w:highlight w:val="none"/>
          <w:lang w:val="en-US" w:eastAsia="zh-CN"/>
        </w:rPr>
        <w:t>9.40万元，占0.08</w:t>
      </w:r>
      <w:r>
        <w:rPr>
          <w:rFonts w:hint="eastAsia" w:ascii="仿宋_GB2312" w:hAnsi="ˎ̥" w:eastAsia="仿宋_GB2312"/>
          <w:b w:val="0"/>
          <w:bCs/>
          <w:color w:val="auto"/>
          <w:sz w:val="32"/>
          <w:szCs w:val="32"/>
          <w:highlight w:val="none"/>
          <w:lang w:val="en-US" w:eastAsia="zh-CN"/>
        </w:rPr>
        <w:t>%；节能环保(类)支出132.79万元；占1.09%;城乡社区(类)支出3313.54万元，占27.30%;住房保障(类)支出6255.91万元，占51.53%；债务付息支出(类)支出2394.71万元，占19.72%。</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黑体" w:hAnsi="黑体" w:eastAsia="黑体" w:cs="黑体"/>
          <w:color w:val="auto"/>
          <w:sz w:val="32"/>
          <w:szCs w:val="32"/>
          <w:highlight w:val="none"/>
        </w:rPr>
      </w:pPr>
      <w:r>
        <w:rPr>
          <w:rFonts w:hint="eastAsia" w:ascii="黑体" w:hAnsi="黑体" w:eastAsia="黑体" w:cs="黑体"/>
          <w:bCs/>
          <w:color w:val="auto"/>
          <w:sz w:val="32"/>
          <w:szCs w:val="32"/>
          <w:highlight w:val="none"/>
        </w:rPr>
        <w:t>六、一般公共预算财政拨款基本支出决算情况说明</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年度财政拨款基本支出</w:t>
      </w:r>
      <w:r>
        <w:rPr>
          <w:rFonts w:hint="eastAsia" w:ascii="仿宋_GB2312" w:hAnsi="ˎ̥" w:eastAsia="仿宋_GB2312"/>
          <w:color w:val="auto"/>
          <w:sz w:val="32"/>
          <w:szCs w:val="32"/>
          <w:highlight w:val="none"/>
          <w:lang w:val="en-US" w:eastAsia="zh-CN"/>
        </w:rPr>
        <w:t>352.31</w:t>
      </w:r>
      <w:r>
        <w:rPr>
          <w:rFonts w:hint="eastAsia" w:ascii="仿宋_GB2312" w:hAnsi="ˎ̥" w:eastAsia="仿宋_GB2312"/>
          <w:color w:val="auto"/>
          <w:sz w:val="32"/>
          <w:szCs w:val="32"/>
          <w:highlight w:val="none"/>
        </w:rPr>
        <w:t>万元，其中：人员</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textAlignment w:val="auto"/>
        <w:rPr>
          <w:rFonts w:hint="eastAsia" w:ascii="仿宋_GB2312" w:hAnsi="ˎ̥" w:eastAsia="仿宋_GB2312"/>
          <w:color w:val="auto"/>
          <w:sz w:val="32"/>
          <w:szCs w:val="32"/>
          <w:highlight w:val="none"/>
        </w:rPr>
      </w:pPr>
      <w:r>
        <w:rPr>
          <w:rFonts w:ascii="仿宋_GB2312" w:hAnsi="ˎ̥" w:eastAsia="仿宋_GB2312"/>
          <w:color w:val="auto"/>
          <w:sz w:val="32"/>
          <w:szCs w:val="32"/>
          <w:highlight w:val="none"/>
          <w:lang w:val="en-US"/>
        </w:rPr>
        <w:t>142.21</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占基本支出的</w:t>
      </w:r>
      <w:r>
        <w:rPr>
          <w:rFonts w:hint="eastAsia" w:ascii="仿宋_GB2312" w:hAnsi="ˎ̥" w:eastAsia="仿宋_GB2312"/>
          <w:color w:val="auto"/>
          <w:sz w:val="32"/>
          <w:szCs w:val="32"/>
          <w:highlight w:val="none"/>
          <w:lang w:val="en-US" w:eastAsia="zh-CN"/>
        </w:rPr>
        <w:t>40.37%</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ascii="仿宋_GB2312" w:hAnsi="ˎ̥" w:eastAsia="仿宋_GB2312"/>
          <w:color w:val="auto"/>
          <w:sz w:val="32"/>
          <w:szCs w:val="32"/>
          <w:highlight w:val="none"/>
          <w:lang w:val="en-US"/>
        </w:rPr>
        <w:t>210.10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占基本支出的</w:t>
      </w:r>
      <w:r>
        <w:rPr>
          <w:rFonts w:hint="eastAsia" w:ascii="仿宋_GB2312" w:hAnsi="ˎ̥" w:eastAsia="仿宋_GB2312"/>
          <w:color w:val="auto"/>
          <w:sz w:val="32"/>
          <w:szCs w:val="32"/>
          <w:highlight w:val="none"/>
          <w:lang w:val="en-US" w:eastAsia="zh-CN"/>
        </w:rPr>
        <w:t>59.63%</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_GB2312" w:hAnsi="ˎ̥" w:eastAsia="仿宋_GB2312"/>
          <w:color w:val="auto"/>
          <w:sz w:val="32"/>
          <w:szCs w:val="32"/>
          <w:highlight w:val="none"/>
          <w:lang w:val="en-US" w:eastAsia="zh-CN"/>
        </w:rPr>
        <w:t>购</w:t>
      </w:r>
      <w:r>
        <w:rPr>
          <w:rFonts w:hint="eastAsia" w:ascii="仿宋_GB2312" w:hAnsi="ˎ̥" w:eastAsia="仿宋_GB2312"/>
          <w:color w:val="auto"/>
          <w:sz w:val="32"/>
          <w:szCs w:val="32"/>
          <w:highlight w:val="none"/>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textAlignment w:val="auto"/>
        <w:rPr>
          <w:rFonts w:hint="eastAsia" w:ascii="黑体" w:hAnsi="黑体" w:eastAsia="黑体" w:cs="黑体"/>
          <w:bCs/>
          <w:color w:val="auto"/>
          <w:sz w:val="32"/>
          <w:szCs w:val="32"/>
          <w:highlight w:val="none"/>
        </w:rPr>
      </w:pP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七、政府性基金预算财政拨款支出决算情况说明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（一）政府性基金预算财政拨款支出决算总体情况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年度政府性基金预算财政拨款支出</w:t>
      </w:r>
      <w:r>
        <w:rPr>
          <w:rFonts w:hint="default" w:ascii="仿宋_GB2312" w:hAnsi="ˎ̥" w:eastAsia="仿宋_GB2312"/>
          <w:color w:val="auto"/>
          <w:sz w:val="32"/>
          <w:szCs w:val="32"/>
          <w:highlight w:val="none"/>
          <w:lang w:val="en-US"/>
        </w:rPr>
        <w:t>7,901.84</w:t>
      </w:r>
      <w:r>
        <w:rPr>
          <w:rFonts w:hint="eastAsia" w:ascii="仿宋_GB2312" w:hAnsi="ˎ̥" w:eastAsia="仿宋_GB2312"/>
          <w:color w:val="auto"/>
          <w:sz w:val="32"/>
          <w:szCs w:val="32"/>
          <w:highlight w:val="none"/>
        </w:rPr>
        <w:t>万元，占本年支出合计的</w:t>
      </w:r>
      <w:r>
        <w:rPr>
          <w:rFonts w:hint="eastAsia" w:ascii="仿宋_GB2312" w:hAnsi="ˎ̥" w:eastAsia="仿宋_GB2312"/>
          <w:color w:val="auto"/>
          <w:sz w:val="32"/>
          <w:szCs w:val="32"/>
          <w:highlight w:val="none"/>
          <w:lang w:val="en-US" w:eastAsia="zh-CN"/>
        </w:rPr>
        <w:t>39.43</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年度相比，政府性基金预算财政拨款支出减少</w:t>
      </w:r>
      <w:r>
        <w:rPr>
          <w:rFonts w:hint="eastAsia" w:ascii="仿宋_GB2312" w:hAnsi="ˎ̥" w:eastAsia="仿宋_GB2312"/>
          <w:color w:val="auto"/>
          <w:sz w:val="32"/>
          <w:szCs w:val="32"/>
          <w:highlight w:val="none"/>
          <w:lang w:val="en-US" w:eastAsia="zh-CN"/>
        </w:rPr>
        <w:t>5181.74</w:t>
      </w:r>
      <w:r>
        <w:rPr>
          <w:rFonts w:hint="eastAsia" w:ascii="仿宋_GB2312" w:hAnsi="ˎ̥" w:eastAsia="仿宋_GB2312"/>
          <w:color w:val="auto"/>
          <w:sz w:val="32"/>
          <w:szCs w:val="32"/>
          <w:highlight w:val="none"/>
        </w:rPr>
        <w:t>万元，下降</w:t>
      </w:r>
      <w:r>
        <w:rPr>
          <w:rFonts w:hint="eastAsia" w:ascii="仿宋_GB2312" w:hAnsi="ˎ̥" w:eastAsia="仿宋_GB2312"/>
          <w:color w:val="auto"/>
          <w:sz w:val="32"/>
          <w:szCs w:val="32"/>
          <w:highlight w:val="none"/>
          <w:lang w:val="en-US" w:eastAsia="zh-CN"/>
        </w:rPr>
        <w:t>39.60</w:t>
      </w:r>
      <w:r>
        <w:rPr>
          <w:rFonts w:hint="eastAsia"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本年度土地出让相关项目规模缩减，基金项目支出相关减少</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（二）政府性基金预算财政拨款支出决算结构情况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年度政府性基金预算财政拨款支出年初预算为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万元，支出决算为</w:t>
      </w:r>
      <w:r>
        <w:rPr>
          <w:rFonts w:hint="default" w:ascii="仿宋_GB2312" w:hAnsi="ˎ̥" w:eastAsia="仿宋_GB2312"/>
          <w:color w:val="auto"/>
          <w:sz w:val="32"/>
          <w:szCs w:val="32"/>
          <w:highlight w:val="none"/>
          <w:lang w:val="en-US"/>
        </w:rPr>
        <w:t>7,901.84</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因年初未安排预算指标，无预算完成比例。决算数大于预算的主要原因是年中上级追加下达土地出让相关专项补助资金，据实发生项目支出。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（三）政府性基金预算财政拨款支出决算具体情况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年度政府性基金预算财政拨款支出年初预算为</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万元，支出决算为</w:t>
      </w:r>
      <w:r>
        <w:rPr>
          <w:rFonts w:hint="default" w:ascii="仿宋_GB2312" w:hAnsi="ˎ̥" w:eastAsia="仿宋_GB2312"/>
          <w:color w:val="auto"/>
          <w:sz w:val="32"/>
          <w:szCs w:val="32"/>
          <w:highlight w:val="none"/>
          <w:lang w:val="en-US"/>
        </w:rPr>
        <w:t>7,901.84</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因年初未安排预算指标，无预算完成比例。决算数大于预算的主要原因是年中上级追加下达土地出让相关专项补助资金，据实发生项目支出。</w:t>
      </w:r>
    </w:p>
    <w:p>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八、国有资本经营预算财政拨款支出决算情况说明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（一）国有资本经营预算财政拨款支出决算总体情况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highlight w:val="none"/>
          <w:lang w:val="en-US" w:eastAsia="zh-CN"/>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年度国有资本经营预算财政拨款支出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万元，占本年支出合计的</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年度相比，国有资本经营预算财政拨款支出增加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万元，增长</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%，主要原因</w:t>
      </w:r>
      <w:r>
        <w:rPr>
          <w:rFonts w:hint="eastAsia" w:ascii="仿宋_GB2312" w:hAnsi="ˎ̥" w:eastAsia="仿宋_GB2312"/>
          <w:color w:val="auto"/>
          <w:sz w:val="32"/>
          <w:szCs w:val="32"/>
          <w:highlight w:val="none"/>
          <w:lang w:val="en-US" w:eastAsia="zh-CN"/>
        </w:rPr>
        <w:t>是本年度无国有资本经营预算安排支出。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（二）国有资本经营预算财政拨款支出决算结构情况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lang w:eastAsia="zh-CN"/>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年度国有资本经营预算财政拨款支出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rPr>
        <w:t>（三）国有资本经营预算财政拨款支出决算具体情况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highlight w:val="none"/>
          <w:lang w:val="en-US" w:eastAsia="zh-CN"/>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年度国有资本经营预算财政拨款支出年初预算为</w:t>
      </w:r>
      <w:r>
        <w:rPr>
          <w:rFonts w:hint="eastAsia" w:ascii="仿宋_GB2312" w:hAnsi="ˎ̥" w:eastAsia="仿宋_GB2312"/>
          <w:color w:val="auto"/>
          <w:sz w:val="32"/>
          <w:szCs w:val="32"/>
          <w:highlight w:val="none"/>
          <w:lang w:val="en-US" w:eastAsia="zh-CN"/>
        </w:rPr>
        <w:t>0.00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仿宋_GB2312" w:hAnsi="ˎ̥" w:eastAsia="楷体_GB2312"/>
          <w:color w:val="auto"/>
          <w:sz w:val="32"/>
          <w:szCs w:val="32"/>
          <w:highlight w:val="none"/>
        </w:rPr>
      </w:pPr>
      <w:r>
        <w:rPr>
          <w:rFonts w:hint="eastAsia" w:ascii="黑体" w:hAnsi="黑体" w:eastAsia="黑体" w:cs="黑体"/>
          <w:bCs/>
          <w:color w:val="auto"/>
          <w:sz w:val="32"/>
          <w:szCs w:val="32"/>
          <w:highlight w:val="none"/>
        </w:rPr>
        <w:t>九、财政拨款“三公”经费支出决算情况说明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highlight w:val="none"/>
        </w:rPr>
      </w:pPr>
      <w:r>
        <w:rPr>
          <w:rFonts w:hint="eastAsia" w:ascii="楷体" w:hAnsi="楷体" w:eastAsia="楷体" w:cs="楷体"/>
          <w:bCs/>
          <w:color w:val="auto"/>
          <w:sz w:val="32"/>
          <w:szCs w:val="32"/>
          <w:highlight w:val="none"/>
        </w:rPr>
        <w:t>（一）财政拨款“三公”经费支出决算总体情况说明</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 xml:space="preserve">    </w:t>
      </w: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年度财政拨款“三公”经费支出预算为</w:t>
      </w:r>
      <w:r>
        <w:rPr>
          <w:rFonts w:hint="default" w:ascii="仿宋_GB2312" w:hAnsi="ˎ̥" w:eastAsia="仿宋_GB2312"/>
          <w:color w:val="auto"/>
          <w:sz w:val="32"/>
          <w:szCs w:val="32"/>
          <w:highlight w:val="none"/>
          <w:lang w:val="en-US"/>
        </w:rPr>
        <w:t>1.71</w:t>
      </w:r>
      <w:r>
        <w:rPr>
          <w:rFonts w:hint="eastAsia" w:ascii="仿宋_GB2312" w:hAnsi="ˎ̥" w:eastAsia="仿宋_GB2312"/>
          <w:color w:val="auto"/>
          <w:sz w:val="32"/>
          <w:szCs w:val="32"/>
          <w:highlight w:val="none"/>
        </w:rPr>
        <w:t>万元，支出决算为</w:t>
      </w:r>
      <w:r>
        <w:rPr>
          <w:rFonts w:hint="default" w:ascii="仿宋_GB2312" w:hAnsi="ˎ̥" w:eastAsia="仿宋_GB2312"/>
          <w:color w:val="auto"/>
          <w:sz w:val="32"/>
          <w:szCs w:val="32"/>
          <w:highlight w:val="none"/>
          <w:lang w:val="en-US"/>
        </w:rPr>
        <w:t>1.71</w:t>
      </w:r>
      <w:r>
        <w:rPr>
          <w:rFonts w:hint="eastAsia" w:ascii="仿宋_GB2312" w:hAnsi="ˎ̥" w:eastAsia="仿宋_GB2312"/>
          <w:color w:val="auto"/>
          <w:sz w:val="32"/>
          <w:szCs w:val="32"/>
          <w:highlight w:val="none"/>
        </w:rPr>
        <w:t>万元，完成预算的</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w:t>
      </w:r>
      <w:r>
        <w:rPr>
          <w:rFonts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w:t>
      </w:r>
      <w:r>
        <w:rPr>
          <w:rFonts w:ascii="仿宋_GB2312" w:hAnsi="ˎ̥" w:eastAsia="仿宋_GB2312"/>
          <w:color w:val="auto"/>
          <w:sz w:val="32"/>
          <w:szCs w:val="32"/>
          <w:highlight w:val="none"/>
        </w:rPr>
        <w:t>相比，</w:t>
      </w:r>
      <w:r>
        <w:rPr>
          <w:rFonts w:hint="eastAsia" w:ascii="仿宋_GB2312" w:hAnsi="ˎ̥" w:eastAsia="仿宋_GB2312"/>
          <w:color w:val="auto"/>
          <w:sz w:val="32"/>
          <w:szCs w:val="32"/>
          <w:highlight w:val="none"/>
        </w:rPr>
        <w:t>“三公”经费支出减少</w:t>
      </w:r>
      <w:r>
        <w:rPr>
          <w:rFonts w:hint="eastAsia" w:ascii="仿宋_GB2312" w:hAnsi="ˎ̥" w:eastAsia="仿宋_GB2312"/>
          <w:color w:val="auto"/>
          <w:sz w:val="32"/>
          <w:szCs w:val="32"/>
          <w:highlight w:val="none"/>
          <w:lang w:val="en-US" w:eastAsia="zh-CN"/>
        </w:rPr>
        <w:t>2.27</w:t>
      </w:r>
      <w:r>
        <w:rPr>
          <w:rFonts w:hint="eastAsia" w:ascii="仿宋_GB2312" w:hAnsi="ˎ̥" w:eastAsia="仿宋_GB2312"/>
          <w:color w:val="auto"/>
          <w:sz w:val="32"/>
          <w:szCs w:val="32"/>
          <w:highlight w:val="none"/>
        </w:rPr>
        <w:t>万元</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rPr>
        <w:t>下降</w:t>
      </w:r>
      <w:r>
        <w:rPr>
          <w:rFonts w:hint="eastAsia" w:ascii="仿宋_GB2312" w:hAnsi="ˎ̥" w:eastAsia="仿宋_GB2312"/>
          <w:color w:val="auto"/>
          <w:sz w:val="32"/>
          <w:szCs w:val="32"/>
          <w:highlight w:val="none"/>
          <w:lang w:val="en-US" w:eastAsia="zh-CN"/>
        </w:rPr>
        <w:t>57.04</w:t>
      </w:r>
      <w:r>
        <w:rPr>
          <w:rFonts w:hint="eastAsia" w:ascii="仿宋_GB2312" w:hAnsi="ˎ̥" w:eastAsia="仿宋_GB2312"/>
          <w:color w:val="auto"/>
          <w:sz w:val="32"/>
          <w:szCs w:val="32"/>
          <w:highlight w:val="none"/>
        </w:rPr>
        <w:t>%，</w:t>
      </w:r>
      <w:r>
        <w:rPr>
          <w:rFonts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从严管控公务用车运行维护开支，节约相关经费支出</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楷体" w:hAnsi="楷体" w:eastAsia="楷体" w:cs="楷体"/>
          <w:color w:val="auto"/>
          <w:sz w:val="32"/>
          <w:szCs w:val="32"/>
          <w:highlight w:val="none"/>
        </w:rPr>
      </w:pPr>
      <w:r>
        <w:rPr>
          <w:rFonts w:hint="eastAsia" w:ascii="楷体" w:hAnsi="楷体" w:eastAsia="楷体" w:cs="楷体"/>
          <w:b/>
          <w:bCs/>
          <w:color w:val="auto"/>
          <w:sz w:val="32"/>
          <w:szCs w:val="32"/>
          <w:highlight w:val="none"/>
        </w:rPr>
        <w:t xml:space="preserve">   </w:t>
      </w:r>
      <w:r>
        <w:rPr>
          <w:rFonts w:hint="eastAsia" w:ascii="楷体" w:hAnsi="楷体" w:eastAsia="楷体" w:cs="楷体"/>
          <w:color w:val="auto"/>
          <w:sz w:val="32"/>
          <w:szCs w:val="32"/>
          <w:highlight w:val="none"/>
        </w:rPr>
        <w:t xml:space="preserve"> （二）财政拨款“三公”经费支出决算具体情况说明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年度财政拨款“三公”经费支出决算中，因公出国（境）费支出决算</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%；公务用车购置及运行维护费支出决算</w:t>
      </w:r>
      <w:r>
        <w:rPr>
          <w:rFonts w:hint="default" w:ascii="仿宋_GB2312" w:hAnsi="ˎ̥" w:eastAsia="仿宋_GB2312"/>
          <w:color w:val="auto"/>
          <w:sz w:val="32"/>
          <w:szCs w:val="32"/>
          <w:highlight w:val="none"/>
          <w:lang w:val="en-US"/>
        </w:rPr>
        <w:t>1.71</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%；公务接待费支出决算</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万元，占</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auto"/>
          <w:sz w:val="32"/>
          <w:szCs w:val="32"/>
          <w:highlight w:val="none"/>
        </w:rPr>
      </w:pPr>
      <w:r>
        <w:rPr>
          <w:rFonts w:hint="eastAsia" w:ascii="仿宋_GB2312" w:hAnsi="ˎ̥" w:eastAsia="仿宋_GB2312"/>
          <w:b/>
          <w:color w:val="auto"/>
          <w:sz w:val="32"/>
          <w:szCs w:val="32"/>
          <w:highlight w:val="none"/>
        </w:rPr>
        <w:t>1.因公出国（境）费</w:t>
      </w:r>
      <w:r>
        <w:rPr>
          <w:rFonts w:hint="eastAsia" w:ascii="仿宋_GB2312" w:hAnsi="ˎ̥" w:eastAsia="仿宋_GB2312"/>
          <w:b/>
          <w:color w:val="auto"/>
          <w:sz w:val="32"/>
          <w:szCs w:val="32"/>
          <w:highlight w:val="none"/>
          <w:lang w:val="en-US" w:eastAsia="zh-CN"/>
        </w:rPr>
        <w:t>用</w:t>
      </w:r>
      <w:r>
        <w:rPr>
          <w:rFonts w:hint="eastAsia" w:ascii="仿宋_GB2312" w:hAnsi="ˎ̥" w:eastAsia="仿宋_GB2312"/>
          <w:color w:val="auto"/>
          <w:sz w:val="32"/>
          <w:szCs w:val="32"/>
          <w:highlight w:val="none"/>
        </w:rPr>
        <w:t>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万元。全年安排因公出国（境）团组</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个，因公出国（境）</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人次。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color w:val="auto"/>
          <w:sz w:val="32"/>
          <w:szCs w:val="32"/>
          <w:highlight w:val="none"/>
        </w:rPr>
        <w:t>因公出国（境）费</w:t>
      </w:r>
      <w:r>
        <w:rPr>
          <w:rFonts w:hint="eastAsia" w:ascii="仿宋_GB2312" w:hAnsi="ˎ̥" w:eastAsia="仿宋_GB2312"/>
          <w:color w:val="auto"/>
          <w:sz w:val="32"/>
          <w:szCs w:val="32"/>
          <w:highlight w:val="none"/>
          <w:lang w:val="en-US" w:eastAsia="zh-CN"/>
        </w:rPr>
        <w:t>用</w:t>
      </w:r>
      <w:r>
        <w:rPr>
          <w:rFonts w:hint="eastAsia" w:ascii="仿宋_GB2312" w:hAnsi="ˎ̥" w:eastAsia="仿宋_GB2312"/>
          <w:color w:val="auto"/>
          <w:sz w:val="32"/>
          <w:szCs w:val="32"/>
          <w:highlight w:val="none"/>
        </w:rPr>
        <w:t>支出决算</w:t>
      </w:r>
      <w:r>
        <w:rPr>
          <w:rFonts w:hint="eastAsia" w:ascii="仿宋_GB2312" w:hAnsi="ˎ̥" w:eastAsia="仿宋_GB2312"/>
          <w:color w:val="auto"/>
          <w:sz w:val="32"/>
          <w:szCs w:val="32"/>
          <w:highlight w:val="none"/>
          <w:lang w:val="en-US" w:eastAsia="zh-CN"/>
        </w:rPr>
        <w:t>数</w:t>
      </w:r>
      <w:r>
        <w:rPr>
          <w:rFonts w:hint="eastAsia" w:ascii="仿宋_GB2312" w:hAnsi="ˎ̥" w:eastAsia="仿宋_GB2312"/>
          <w:color w:val="auto"/>
          <w:sz w:val="32"/>
          <w:szCs w:val="32"/>
          <w:highlight w:val="none"/>
        </w:rPr>
        <w:t>比预算数增加（减少）</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完成预算的</w:t>
      </w:r>
      <w:r>
        <w:rPr>
          <w:rFonts w:hint="eastAsia" w:ascii="仿宋_GB2312" w:hAnsi="ˎ̥" w:eastAsia="仿宋_GB2312"/>
          <w:color w:val="auto"/>
          <w:sz w:val="32"/>
          <w:szCs w:val="32"/>
          <w:highlight w:val="none"/>
          <w:lang w:val="en-US" w:eastAsia="zh-CN"/>
        </w:rPr>
        <w:t>0</w:t>
      </w:r>
      <w:r>
        <w:rPr>
          <w:rFonts w:hint="default"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w:t>
      </w:r>
      <w:r>
        <w:rPr>
          <w:rFonts w:ascii="仿宋_GB2312" w:hAnsi="ˎ̥" w:eastAsia="仿宋_GB2312"/>
          <w:color w:val="auto"/>
          <w:sz w:val="32"/>
          <w:szCs w:val="32"/>
          <w:highlight w:val="none"/>
        </w:rPr>
        <w:t>相比，</w:t>
      </w:r>
      <w:r>
        <w:rPr>
          <w:rFonts w:hint="eastAsia" w:ascii="仿宋_GB2312" w:hAnsi="ˎ̥" w:eastAsia="仿宋_GB2312"/>
          <w:color w:val="auto"/>
          <w:sz w:val="32"/>
          <w:szCs w:val="32"/>
          <w:highlight w:val="none"/>
        </w:rPr>
        <w:t>因公出国（境）费</w:t>
      </w:r>
      <w:r>
        <w:rPr>
          <w:rFonts w:hint="eastAsia" w:ascii="仿宋_GB2312" w:hAnsi="ˎ̥" w:eastAsia="仿宋_GB2312"/>
          <w:color w:val="auto"/>
          <w:sz w:val="32"/>
          <w:szCs w:val="32"/>
          <w:highlight w:val="none"/>
          <w:lang w:val="en-US" w:eastAsia="zh-CN"/>
        </w:rPr>
        <w:t>用</w:t>
      </w:r>
      <w:r>
        <w:rPr>
          <w:rFonts w:hint="eastAsia" w:ascii="仿宋_GB2312" w:hAnsi="ˎ̥" w:eastAsia="仿宋_GB2312"/>
          <w:color w:val="auto"/>
          <w:sz w:val="32"/>
          <w:szCs w:val="32"/>
          <w:highlight w:val="none"/>
        </w:rPr>
        <w:t>支出</w:t>
      </w:r>
      <w:r>
        <w:rPr>
          <w:rFonts w:hint="eastAsia" w:ascii="仿宋_GB2312" w:hAnsi="ˎ̥" w:eastAsia="仿宋_GB2312"/>
          <w:color w:val="auto"/>
          <w:sz w:val="32"/>
          <w:szCs w:val="32"/>
          <w:highlight w:val="none"/>
          <w:lang w:val="en-US" w:eastAsia="zh-CN"/>
        </w:rPr>
        <w:t>增加(</w:t>
      </w:r>
      <w:r>
        <w:rPr>
          <w:rFonts w:hint="eastAsia" w:ascii="仿宋_GB2312" w:hAnsi="ˎ̥" w:eastAsia="仿宋_GB2312"/>
          <w:color w:val="auto"/>
          <w:sz w:val="32"/>
          <w:szCs w:val="32"/>
          <w:highlight w:val="none"/>
        </w:rPr>
        <w:t>减少</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增长(</w:t>
      </w:r>
      <w:r>
        <w:rPr>
          <w:rFonts w:hint="eastAsia" w:ascii="仿宋_GB2312" w:hAnsi="ˎ̥" w:eastAsia="仿宋_GB2312"/>
          <w:color w:val="auto"/>
          <w:sz w:val="32"/>
          <w:szCs w:val="32"/>
          <w:highlight w:val="none"/>
        </w:rPr>
        <w:t>下降</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主要原因是本年度无因公出国(境)安排。</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b/>
          <w:color w:val="auto"/>
          <w:sz w:val="32"/>
          <w:szCs w:val="32"/>
          <w:highlight w:val="none"/>
        </w:rPr>
        <w:t xml:space="preserve"> 2.公务用车购置及运行维护费</w:t>
      </w:r>
      <w:r>
        <w:rPr>
          <w:rFonts w:hint="eastAsia" w:ascii="仿宋_GB2312" w:hAnsi="ˎ̥" w:eastAsia="仿宋_GB2312"/>
          <w:b w:val="0"/>
          <w:bCs/>
          <w:color w:val="auto"/>
          <w:sz w:val="32"/>
          <w:szCs w:val="32"/>
          <w:highlight w:val="none"/>
        </w:rPr>
        <w:t>支出</w:t>
      </w:r>
      <w:r>
        <w:rPr>
          <w:rFonts w:hint="default" w:ascii="仿宋_GB2312" w:hAnsi="ˎ̥" w:eastAsia="仿宋_GB2312"/>
          <w:color w:val="auto"/>
          <w:sz w:val="32"/>
          <w:szCs w:val="32"/>
          <w:highlight w:val="none"/>
          <w:lang w:val="en-US"/>
        </w:rPr>
        <w:t>1.71</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主要用于公务用车燃油、保险、维修等运行维护支出。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bCs/>
          <w:color w:val="auto"/>
          <w:sz w:val="32"/>
          <w:szCs w:val="32"/>
          <w:highlight w:val="none"/>
        </w:rPr>
      </w:pPr>
      <w:r>
        <w:rPr>
          <w:rFonts w:hint="eastAsia" w:ascii="仿宋_GB2312" w:hAnsi="ˎ̥" w:eastAsia="仿宋_GB2312"/>
          <w:bCs/>
          <w:color w:val="auto"/>
          <w:sz w:val="32"/>
          <w:szCs w:val="32"/>
          <w:highlight w:val="none"/>
        </w:rPr>
        <w:t>公务用车购置及运行维护费支出决算数</w:t>
      </w:r>
      <w:r>
        <w:rPr>
          <w:rFonts w:hint="eastAsia" w:ascii="仿宋_GB2312" w:hAnsi="ˎ̥" w:eastAsia="仿宋_GB2312"/>
          <w:color w:val="auto"/>
          <w:sz w:val="32"/>
          <w:szCs w:val="32"/>
          <w:highlight w:val="none"/>
        </w:rPr>
        <w:t>比预算数增加（减少）</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完成预算的</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w:t>
      </w:r>
      <w:r>
        <w:rPr>
          <w:rFonts w:ascii="仿宋_GB2312" w:hAnsi="ˎ̥" w:eastAsia="仿宋_GB2312"/>
          <w:color w:val="auto"/>
          <w:sz w:val="32"/>
          <w:szCs w:val="32"/>
          <w:highlight w:val="none"/>
        </w:rPr>
        <w:t>相比，</w:t>
      </w:r>
      <w:r>
        <w:rPr>
          <w:rFonts w:hint="eastAsia" w:ascii="仿宋_GB2312" w:hAnsi="ˎ̥" w:eastAsia="仿宋_GB2312"/>
          <w:bCs/>
          <w:color w:val="auto"/>
          <w:sz w:val="32"/>
          <w:szCs w:val="32"/>
          <w:highlight w:val="none"/>
        </w:rPr>
        <w:t>公务用车购置及运行维护费</w:t>
      </w:r>
      <w:r>
        <w:rPr>
          <w:rFonts w:hint="eastAsia" w:ascii="仿宋_GB2312" w:hAnsi="ˎ̥" w:eastAsia="仿宋_GB2312"/>
          <w:color w:val="auto"/>
          <w:sz w:val="32"/>
          <w:szCs w:val="32"/>
          <w:highlight w:val="none"/>
        </w:rPr>
        <w:t>支出减少</w:t>
      </w:r>
      <w:r>
        <w:rPr>
          <w:rFonts w:hint="eastAsia" w:ascii="仿宋_GB2312" w:hAnsi="ˎ̥" w:eastAsia="仿宋_GB2312"/>
          <w:color w:val="auto"/>
          <w:sz w:val="32"/>
          <w:szCs w:val="32"/>
          <w:highlight w:val="none"/>
          <w:lang w:val="en-US" w:eastAsia="zh-CN"/>
        </w:rPr>
        <w:t>2.27</w:t>
      </w:r>
      <w:r>
        <w:rPr>
          <w:rFonts w:hint="eastAsia" w:ascii="仿宋_GB2312" w:hAnsi="ˎ̥" w:eastAsia="仿宋_GB2312"/>
          <w:color w:val="auto"/>
          <w:sz w:val="32"/>
          <w:szCs w:val="32"/>
          <w:highlight w:val="none"/>
        </w:rPr>
        <w:t>万元</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rPr>
        <w:t>下降</w:t>
      </w:r>
      <w:r>
        <w:rPr>
          <w:rFonts w:hint="eastAsia" w:ascii="仿宋_GB2312" w:hAnsi="ˎ̥" w:eastAsia="仿宋_GB2312"/>
          <w:color w:val="auto"/>
          <w:sz w:val="32"/>
          <w:szCs w:val="32"/>
          <w:highlight w:val="none"/>
          <w:lang w:val="en-US" w:eastAsia="zh-CN"/>
        </w:rPr>
        <w:t>57.04</w:t>
      </w:r>
      <w:r>
        <w:rPr>
          <w:rFonts w:hint="eastAsia"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进一步强化车辆运维管控，压减相关开支</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_GB2312" w:hAnsi="ˎ̥" w:eastAsia="仿宋_GB2312"/>
          <w:color w:val="auto"/>
          <w:sz w:val="32"/>
          <w:szCs w:val="32"/>
          <w:highlight w:val="none"/>
        </w:rPr>
      </w:pPr>
      <w:r>
        <w:rPr>
          <w:rFonts w:hint="eastAsia" w:ascii="仿宋_GB2312" w:hAnsi="ˎ̥" w:eastAsia="仿宋_GB2312"/>
          <w:b/>
          <w:color w:val="auto"/>
          <w:sz w:val="32"/>
          <w:szCs w:val="32"/>
          <w:highlight w:val="none"/>
        </w:rPr>
        <w:t xml:space="preserve"> 3.公务接待费</w:t>
      </w:r>
      <w:r>
        <w:rPr>
          <w:rFonts w:hint="eastAsia" w:ascii="仿宋_GB2312" w:hAnsi="ˎ̥" w:eastAsia="仿宋_GB2312"/>
          <w:b w:val="0"/>
          <w:bCs/>
          <w:color w:val="auto"/>
          <w:sz w:val="32"/>
          <w:szCs w:val="32"/>
          <w:highlight w:val="none"/>
        </w:rPr>
        <w:t>支出</w:t>
      </w:r>
      <w:r>
        <w:rPr>
          <w:rFonts w:hint="default" w:ascii="仿宋_GB2312" w:hAnsi="ˎ̥" w:eastAsia="仿宋_GB2312"/>
          <w:color w:val="auto"/>
          <w:sz w:val="32"/>
          <w:szCs w:val="32"/>
          <w:highlight w:val="none"/>
          <w:lang w:val="en-US"/>
        </w:rPr>
        <w:t>0.00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主要用于</w:t>
      </w:r>
      <w:r>
        <w:rPr>
          <w:rFonts w:hint="eastAsia" w:ascii="仿宋_GB2312" w:hAnsi="ˎ̥" w:eastAsia="仿宋_GB2312"/>
          <w:color w:val="auto"/>
          <w:sz w:val="32"/>
          <w:szCs w:val="32"/>
          <w:highlight w:val="none"/>
          <w:lang w:val="en-US" w:eastAsia="zh-CN"/>
        </w:rPr>
        <w:t>无</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lang w:val="en-US" w:eastAsia="zh-CN"/>
        </w:rPr>
        <w:t>我局</w:t>
      </w:r>
      <w:r>
        <w:rPr>
          <w:rFonts w:hint="eastAsia" w:ascii="仿宋_GB2312" w:hAnsi="ˎ̥" w:eastAsia="仿宋_GB2312"/>
          <w:color w:val="auto"/>
          <w:sz w:val="32"/>
          <w:szCs w:val="32"/>
          <w:highlight w:val="none"/>
        </w:rPr>
        <w:t>公务接待费支出决算数比预算数增加（减少）</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完成预算的</w:t>
      </w:r>
      <w:r>
        <w:rPr>
          <w:rFonts w:hint="eastAsia" w:ascii="仿宋_GB2312" w:hAnsi="ˎ̥" w:eastAsia="仿宋_GB2312"/>
          <w:color w:val="auto"/>
          <w:sz w:val="32"/>
          <w:szCs w:val="32"/>
          <w:highlight w:val="none"/>
          <w:lang w:val="en-US" w:eastAsia="zh-CN"/>
        </w:rPr>
        <w:t>100</w:t>
      </w:r>
      <w:r>
        <w:rPr>
          <w:rFonts w:hint="eastAsia" w:ascii="仿宋_GB2312" w:hAnsi="ˎ̥" w:eastAsia="仿宋_GB2312"/>
          <w:color w:val="auto"/>
          <w:sz w:val="32"/>
          <w:szCs w:val="32"/>
          <w:highlight w:val="none"/>
        </w:rPr>
        <w:t>%。与</w:t>
      </w:r>
      <w:r>
        <w:rPr>
          <w:rFonts w:hint="default" w:ascii="仿宋_GB2312" w:hAnsi="ˎ̥" w:eastAsia="仿宋_GB2312"/>
          <w:color w:val="auto"/>
          <w:sz w:val="32"/>
          <w:szCs w:val="32"/>
          <w:highlight w:val="none"/>
          <w:lang w:val="en-US"/>
        </w:rPr>
        <w:t>2024</w:t>
      </w:r>
      <w:r>
        <w:rPr>
          <w:rFonts w:hint="eastAsia" w:ascii="仿宋_GB2312" w:hAnsi="ˎ̥" w:eastAsia="仿宋_GB2312"/>
          <w:color w:val="auto"/>
          <w:sz w:val="32"/>
          <w:szCs w:val="32"/>
          <w:highlight w:val="none"/>
        </w:rPr>
        <w:t>年度</w:t>
      </w:r>
      <w:r>
        <w:rPr>
          <w:rFonts w:ascii="仿宋_GB2312" w:hAnsi="ˎ̥" w:eastAsia="仿宋_GB2312"/>
          <w:color w:val="auto"/>
          <w:sz w:val="32"/>
          <w:szCs w:val="32"/>
          <w:highlight w:val="none"/>
        </w:rPr>
        <w:t>相比，</w:t>
      </w:r>
      <w:r>
        <w:rPr>
          <w:rFonts w:hint="eastAsia" w:ascii="仿宋_GB2312" w:hAnsi="ˎ̥" w:eastAsia="仿宋_GB2312"/>
          <w:bCs/>
          <w:color w:val="auto"/>
          <w:sz w:val="32"/>
          <w:szCs w:val="32"/>
          <w:highlight w:val="none"/>
        </w:rPr>
        <w:t>公务接待费</w:t>
      </w:r>
      <w:r>
        <w:rPr>
          <w:rFonts w:hint="eastAsia" w:ascii="仿宋_GB2312" w:hAnsi="ˎ̥" w:eastAsia="仿宋_GB2312"/>
          <w:color w:val="auto"/>
          <w:sz w:val="32"/>
          <w:szCs w:val="32"/>
          <w:highlight w:val="none"/>
        </w:rPr>
        <w:t>支出增加</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rPr>
        <w:t>减少</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万元</w:t>
      </w:r>
      <w:r>
        <w:rPr>
          <w:rFonts w:ascii="仿宋_GB2312" w:hAnsi="ˎ̥" w:eastAsia="仿宋_GB2312"/>
          <w:color w:val="auto"/>
          <w:sz w:val="32"/>
          <w:szCs w:val="32"/>
          <w:highlight w:val="none"/>
        </w:rPr>
        <w:t>，增长（</w:t>
      </w:r>
      <w:r>
        <w:rPr>
          <w:rFonts w:hint="eastAsia" w:ascii="仿宋_GB2312" w:hAnsi="ˎ̥" w:eastAsia="仿宋_GB2312"/>
          <w:color w:val="auto"/>
          <w:sz w:val="32"/>
          <w:szCs w:val="32"/>
          <w:highlight w:val="none"/>
        </w:rPr>
        <w:t>下降</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0</w:t>
      </w:r>
      <w:r>
        <w:rPr>
          <w:rFonts w:hint="eastAsia" w:ascii="仿宋_GB2312" w:hAnsi="ˎ̥" w:eastAsia="仿宋_GB2312"/>
          <w:color w:val="auto"/>
          <w:sz w:val="32"/>
          <w:szCs w:val="32"/>
          <w:highlight w:val="none"/>
        </w:rPr>
        <w:t>%，主要原因是</w:t>
      </w:r>
      <w:r>
        <w:rPr>
          <w:rFonts w:hint="eastAsia" w:ascii="仿宋_GB2312" w:hAnsi="ˎ̥" w:eastAsia="仿宋_GB2312"/>
          <w:color w:val="auto"/>
          <w:sz w:val="32"/>
          <w:szCs w:val="32"/>
          <w:highlight w:val="none"/>
          <w:lang w:val="en-US" w:eastAsia="zh-CN"/>
        </w:rPr>
        <w:t>本年度未发生公务接待支出</w:t>
      </w:r>
      <w:r>
        <w:rPr>
          <w:rFonts w:hint="eastAsia" w:ascii="仿宋_GB2312" w:hAnsi="ˎ̥"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十、预算绩效情况说明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highlight w:val="none"/>
        </w:rPr>
      </w:pPr>
      <w:r>
        <w:rPr>
          <w:rFonts w:hint="eastAsia" w:ascii="楷体" w:hAnsi="楷体" w:eastAsia="楷体" w:cs="楷体"/>
          <w:bCs/>
          <w:color w:val="auto"/>
          <w:sz w:val="32"/>
          <w:szCs w:val="32"/>
          <w:highlight w:val="none"/>
        </w:rPr>
        <w:t>（一）绩效管理工作开展情况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根据财政预算绩效管理要求，我单位</w:t>
      </w:r>
      <w:r>
        <w:rPr>
          <w:rFonts w:hint="default" w:ascii="仿宋_GB2312" w:eastAsia="仿宋_GB2312"/>
          <w:color w:val="auto"/>
          <w:sz w:val="32"/>
          <w:szCs w:val="32"/>
          <w:highlight w:val="none"/>
          <w:lang w:val="en-US"/>
        </w:rPr>
        <w:t>2025</w:t>
      </w:r>
      <w:r>
        <w:rPr>
          <w:rFonts w:hint="eastAsia" w:ascii="仿宋_GB2312" w:eastAsia="仿宋_GB2312"/>
          <w:color w:val="auto"/>
          <w:sz w:val="32"/>
          <w:szCs w:val="32"/>
          <w:highlight w:val="none"/>
        </w:rPr>
        <w:t>年度一般公共预算项目支出全面开展绩效自评</w:t>
      </w:r>
      <w:r>
        <w:rPr>
          <w:rFonts w:hint="default" w:ascii="仿宋_GB2312" w:eastAsia="仿宋_GB2312"/>
          <w:color w:val="auto"/>
          <w:sz w:val="32"/>
          <w:szCs w:val="32"/>
          <w:highlight w:val="none"/>
          <w:lang w:val="en-US"/>
        </w:rPr>
        <w:t>,</w:t>
      </w:r>
      <w:r>
        <w:rPr>
          <w:rFonts w:hint="eastAsia" w:ascii="仿宋_GB2312" w:eastAsia="仿宋_GB2312"/>
          <w:color w:val="auto"/>
          <w:sz w:val="32"/>
          <w:szCs w:val="32"/>
          <w:highlight w:val="none"/>
          <w:lang w:val="en-US" w:eastAsia="zh-CN"/>
        </w:rPr>
        <w:t>本年度政府性基金预算、国有资本经营预算均为未安排相关绩效自评项目。本年末组织开展部门评价</w:t>
      </w:r>
      <w:r>
        <w:rPr>
          <w:rFonts w:hint="eastAsia" w:ascii="仿宋_GB2312" w:eastAsia="仿宋_GB2312"/>
          <w:color w:val="auto"/>
          <w:sz w:val="32"/>
          <w:szCs w:val="32"/>
          <w:highlight w:val="none"/>
          <w:lang w:bidi="ar"/>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color w:val="auto"/>
          <w:sz w:val="32"/>
          <w:szCs w:val="32"/>
          <w:highlight w:val="none"/>
        </w:rPr>
      </w:pPr>
      <w:r>
        <w:rPr>
          <w:rFonts w:hint="eastAsia" w:ascii="楷体" w:hAnsi="楷体" w:eastAsia="楷体" w:cs="楷体"/>
          <w:bCs/>
          <w:color w:val="auto"/>
          <w:sz w:val="32"/>
          <w:szCs w:val="32"/>
          <w:highlight w:val="none"/>
        </w:rPr>
        <w:t>（二）部门决算中项目绩效自评结果（预算部门、单位可根据实际情况反映重点项目绩效自评结果）</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我单位严格落实财政预算绩效管理工作要求，对本年度实施的项目开展绩效自评</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工作中进一步细化绩效目标，将项目经费与住建领域业务工作目标对应衔接；常态化调度项目资金支出经度，严格经费报销审核，强化过程监管，切实提升财政资金使用效益，较好完成各项目既定工作任务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十一、其他重要事项情况说明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highlight w:val="none"/>
        </w:rPr>
      </w:pPr>
      <w:bookmarkStart w:id="95" w:name="_Toc15565_WPSOffice_Level2"/>
      <w:bookmarkStart w:id="96" w:name="_Toc15262_WPSOffice_Level2"/>
      <w:bookmarkStart w:id="97" w:name="_Toc18325_WPSOffice_Level2"/>
      <w:bookmarkStart w:id="98" w:name="_Toc32639_WPSOffice_Level2"/>
      <w:bookmarkStart w:id="99" w:name="_Toc23598_WPSOffice_Level2"/>
      <w:bookmarkStart w:id="100" w:name="_Toc5978_WPSOffice_Level2"/>
      <w:r>
        <w:rPr>
          <w:rFonts w:hint="eastAsia" w:ascii="楷体" w:hAnsi="楷体" w:eastAsia="楷体" w:cs="楷体"/>
          <w:bCs/>
          <w:color w:val="auto"/>
          <w:sz w:val="32"/>
          <w:szCs w:val="32"/>
          <w:highlight w:val="none"/>
        </w:rPr>
        <w:t>（一）机关运行经费支出情况</w:t>
      </w:r>
      <w:bookmarkEnd w:id="95"/>
      <w:bookmarkEnd w:id="96"/>
      <w:bookmarkEnd w:id="97"/>
      <w:bookmarkEnd w:id="98"/>
      <w:bookmarkEnd w:id="99"/>
      <w:bookmarkEnd w:id="100"/>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lang w:val="en-US" w:eastAsia="zh-CN"/>
        </w:rPr>
      </w:pP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w:t>
      </w:r>
      <w:r>
        <w:rPr>
          <w:rFonts w:hint="eastAsia" w:ascii="仿宋_GB2312" w:hAnsi="ˎ̥" w:eastAsia="仿宋_GB2312"/>
          <w:color w:val="auto"/>
          <w:sz w:val="32"/>
          <w:szCs w:val="32"/>
          <w:highlight w:val="none"/>
        </w:rPr>
        <w:t>度</w:t>
      </w:r>
      <w:r>
        <w:rPr>
          <w:rFonts w:hint="eastAsia" w:ascii="仿宋_GB2312" w:hAnsi="ˎ̥" w:eastAsia="仿宋_GB2312"/>
          <w:color w:val="auto"/>
          <w:sz w:val="32"/>
          <w:szCs w:val="32"/>
          <w:highlight w:val="none"/>
          <w:lang w:val="en-US" w:eastAsia="zh-CN"/>
        </w:rPr>
        <w:t>比如县住房和城乡建设局</w:t>
      </w:r>
      <w:r>
        <w:rPr>
          <w:rFonts w:hint="eastAsia" w:ascii="仿宋_GB2312" w:hAnsi="ˎ̥" w:eastAsia="仿宋_GB2312"/>
          <w:color w:val="auto"/>
          <w:sz w:val="32"/>
          <w:szCs w:val="32"/>
          <w:highlight w:val="none"/>
        </w:rPr>
        <w:t>机关运行经费</w:t>
      </w:r>
      <w:r>
        <w:rPr>
          <w:rFonts w:hint="eastAsia" w:ascii="仿宋_GB2312" w:hAnsi="ˎ̥" w:eastAsia="仿宋_GB2312"/>
          <w:color w:val="auto"/>
          <w:sz w:val="32"/>
          <w:szCs w:val="32"/>
          <w:highlight w:val="none"/>
          <w:lang w:val="en-US" w:eastAsia="zh-CN"/>
        </w:rPr>
        <w:t>21.80</w:t>
      </w:r>
      <w:r>
        <w:rPr>
          <w:rFonts w:hint="eastAsia" w:ascii="仿宋_GB2312" w:hAnsi="ˎ̥" w:eastAsia="仿宋_GB2312"/>
          <w:color w:val="auto"/>
          <w:sz w:val="32"/>
          <w:szCs w:val="32"/>
          <w:highlight w:val="none"/>
        </w:rPr>
        <w:t>万元（为部门决算中行政单位和参公事业单位财政拨款基本支出中公用经费支出之和，事业单位没有机关运行经费支出），比年初预算增加</w:t>
      </w:r>
      <w:r>
        <w:rPr>
          <w:rFonts w:hint="eastAsia" w:ascii="仿宋_GB2312" w:hAnsi="ˎ̥" w:eastAsia="仿宋_GB2312"/>
          <w:color w:val="auto"/>
          <w:sz w:val="32"/>
          <w:szCs w:val="32"/>
          <w:highlight w:val="none"/>
          <w:lang w:val="en-US" w:eastAsia="zh-CN"/>
        </w:rPr>
        <w:t>1.84</w:t>
      </w:r>
      <w:r>
        <w:rPr>
          <w:rFonts w:hint="eastAsia" w:ascii="仿宋_GB2312" w:hAnsi="ˎ̥" w:eastAsia="仿宋_GB2312"/>
          <w:color w:val="auto"/>
          <w:sz w:val="32"/>
          <w:szCs w:val="32"/>
          <w:highlight w:val="none"/>
        </w:rPr>
        <w:t>万元，</w:t>
      </w:r>
      <w:r>
        <w:rPr>
          <w:rFonts w:hint="eastAsia" w:ascii="仿宋_GB2312" w:hAnsi="ˎ̥" w:eastAsia="仿宋_GB2312"/>
          <w:color w:val="auto"/>
          <w:sz w:val="32"/>
          <w:szCs w:val="32"/>
          <w:highlight w:val="none"/>
          <w:lang w:val="en-US" w:eastAsia="zh-CN"/>
        </w:rPr>
        <w:t>完成预算的</w:t>
      </w:r>
      <w:r>
        <w:rPr>
          <w:rFonts w:hint="eastAsia" w:ascii="仿宋_GB2312" w:hAnsi="ˎ̥" w:eastAsia="仿宋_GB2312"/>
          <w:color w:val="auto"/>
          <w:sz w:val="32"/>
          <w:szCs w:val="32"/>
          <w:highlight w:val="none"/>
          <w:lang w:val="en-US" w:eastAsia="zh-CN"/>
        </w:rPr>
        <w:t>109.22</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（注</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rPr>
        <w:t>机关运行经费预算数可取自部门决算报表财决01-1表《财政拨款收入支出决算总表》，年初预算数-一般公共预算财政拨款-公用经费，注意部门汇总公开决算时，因事业单位没有机关运行经费支出，故部门汇总的机关运行经费预算数应为部门所属的各行政单位或参公单位的汇总数；决算数可取自</w:t>
      </w: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年度部门决算报表F03表《机构运行信息表》“机关运行经费”栏。）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highlight w:val="none"/>
        </w:rPr>
      </w:pPr>
      <w:bookmarkStart w:id="101" w:name="_Toc23966_WPSOffice_Level2"/>
      <w:bookmarkStart w:id="102" w:name="_Toc32689_WPSOffice_Level2"/>
      <w:bookmarkStart w:id="103" w:name="_Toc30383_WPSOffice_Level2"/>
      <w:bookmarkStart w:id="104" w:name="_Toc25333_WPSOffice_Level2"/>
      <w:bookmarkStart w:id="105" w:name="_Toc13084_WPSOffice_Level2"/>
      <w:bookmarkStart w:id="106" w:name="_Toc3131_WPSOffice_Level2"/>
      <w:r>
        <w:rPr>
          <w:rFonts w:hint="eastAsia" w:ascii="楷体" w:hAnsi="楷体" w:eastAsia="楷体" w:cs="楷体"/>
          <w:bCs/>
          <w:color w:val="auto"/>
          <w:sz w:val="32"/>
          <w:szCs w:val="32"/>
          <w:highlight w:val="none"/>
        </w:rPr>
        <w:t>（二）</w:t>
      </w:r>
      <w:bookmarkEnd w:id="101"/>
      <w:bookmarkEnd w:id="102"/>
      <w:bookmarkEnd w:id="103"/>
      <w:bookmarkEnd w:id="104"/>
      <w:bookmarkEnd w:id="105"/>
      <w:bookmarkEnd w:id="106"/>
      <w:bookmarkStart w:id="107" w:name="_Toc29584_WPSOffice_Level2"/>
      <w:bookmarkStart w:id="108" w:name="_Toc6016_WPSOffice_Level2"/>
      <w:bookmarkStart w:id="109" w:name="_Toc19989_WPSOffice_Level2"/>
      <w:bookmarkStart w:id="110" w:name="_Toc15129_WPSOffice_Level2"/>
      <w:bookmarkStart w:id="111" w:name="_Toc527_WPSOffice_Level2"/>
      <w:bookmarkStart w:id="112" w:name="_Toc10902_WPSOffice_Level2"/>
      <w:r>
        <w:rPr>
          <w:rFonts w:hint="eastAsia" w:ascii="楷体" w:hAnsi="楷体" w:eastAsia="楷体" w:cs="楷体"/>
          <w:bCs/>
          <w:color w:val="auto"/>
          <w:sz w:val="32"/>
          <w:szCs w:val="32"/>
          <w:highlight w:val="none"/>
        </w:rPr>
        <w:t>国有资产占用情况</w:t>
      </w:r>
      <w:bookmarkEnd w:id="107"/>
      <w:bookmarkEnd w:id="108"/>
      <w:bookmarkEnd w:id="109"/>
      <w:bookmarkEnd w:id="110"/>
      <w:bookmarkEnd w:id="111"/>
      <w:bookmarkEnd w:id="112"/>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highlight w:val="none"/>
          <w:lang w:val="en-US" w:eastAsia="zh-CN"/>
        </w:rPr>
      </w:pPr>
      <w:r>
        <w:rPr>
          <w:rFonts w:hint="eastAsia" w:ascii="仿宋_GB2312" w:hAnsi="ˎ̥" w:eastAsia="仿宋_GB2312"/>
          <w:bCs/>
          <w:color w:val="auto"/>
          <w:sz w:val="32"/>
          <w:szCs w:val="32"/>
          <w:highlight w:val="none"/>
        </w:rPr>
        <w:t>截至</w:t>
      </w:r>
      <w:r>
        <w:rPr>
          <w:rFonts w:hint="default" w:ascii="仿宋_GB2312" w:hAnsi="ˎ̥" w:eastAsia="仿宋_GB2312"/>
          <w:bCs/>
          <w:color w:val="auto"/>
          <w:sz w:val="32"/>
          <w:szCs w:val="32"/>
          <w:highlight w:val="none"/>
          <w:lang w:val="en-US"/>
        </w:rPr>
        <w:t>2025</w:t>
      </w:r>
      <w:r>
        <w:rPr>
          <w:rFonts w:hint="eastAsia" w:ascii="仿宋_GB2312" w:hAnsi="ˎ̥" w:eastAsia="仿宋_GB2312"/>
          <w:bCs/>
          <w:color w:val="auto"/>
          <w:sz w:val="32"/>
          <w:szCs w:val="32"/>
          <w:highlight w:val="none"/>
        </w:rPr>
        <w:t>年12月31日，</w:t>
      </w:r>
      <w:r>
        <w:rPr>
          <w:rFonts w:hint="eastAsia" w:ascii="仿宋_GB2312" w:hAnsi="ˎ̥" w:eastAsia="仿宋_GB2312"/>
          <w:bCs/>
          <w:color w:val="auto"/>
          <w:sz w:val="32"/>
          <w:szCs w:val="32"/>
          <w:highlight w:val="none"/>
          <w:lang w:val="en-US" w:eastAsia="zh-CN"/>
        </w:rPr>
        <w:t>本部门拥有固定资产设备类210个。其中:房屋和构造物类35个，其他设备类75个额，家具和用具100个。</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（注</w:t>
      </w:r>
      <w:r>
        <w:rPr>
          <w:rFonts w:ascii="仿宋_GB2312" w:hAnsi="ˎ̥" w:eastAsia="仿宋_GB2312"/>
          <w:color w:val="auto"/>
          <w:sz w:val="32"/>
          <w:szCs w:val="32"/>
          <w:highlight w:val="none"/>
        </w:rPr>
        <w:t>：</w:t>
      </w:r>
      <w:r>
        <w:rPr>
          <w:rFonts w:hint="eastAsia" w:ascii="仿宋_GB2312" w:hAnsi="ˎ̥" w:eastAsia="仿宋_GB2312"/>
          <w:color w:val="auto"/>
          <w:sz w:val="32"/>
          <w:szCs w:val="32"/>
          <w:highlight w:val="none"/>
        </w:rPr>
        <w:t>上述国有资产占用情况相关数</w:t>
      </w:r>
      <w:r>
        <w:rPr>
          <w:rFonts w:hint="eastAsia" w:ascii="仿宋_GB2312" w:hAnsi="ˎ̥" w:eastAsia="仿宋_GB2312"/>
          <w:color w:val="auto"/>
          <w:sz w:val="32"/>
          <w:szCs w:val="32"/>
          <w:highlight w:val="none"/>
          <w:lang w:val="en-US" w:eastAsia="zh-CN"/>
        </w:rPr>
        <w:t>据</w:t>
      </w:r>
      <w:r>
        <w:rPr>
          <w:rFonts w:hint="eastAsia" w:ascii="仿宋_GB2312" w:hAnsi="ˎ̥" w:eastAsia="仿宋_GB2312"/>
          <w:color w:val="auto"/>
          <w:sz w:val="32"/>
          <w:szCs w:val="32"/>
          <w:highlight w:val="none"/>
        </w:rPr>
        <w:t>取自</w:t>
      </w:r>
      <w:r>
        <w:rPr>
          <w:rFonts w:hint="default" w:ascii="仿宋_GB2312" w:hAnsi="ˎ̥" w:eastAsia="仿宋_GB2312"/>
          <w:color w:val="auto"/>
          <w:sz w:val="32"/>
          <w:szCs w:val="32"/>
          <w:highlight w:val="none"/>
          <w:lang w:val="en-US"/>
        </w:rPr>
        <w:t>2025</w:t>
      </w:r>
      <w:r>
        <w:rPr>
          <w:rFonts w:hint="eastAsia" w:ascii="仿宋_GB2312" w:hAnsi="ˎ̥" w:eastAsia="仿宋_GB2312"/>
          <w:color w:val="auto"/>
          <w:sz w:val="32"/>
          <w:szCs w:val="32"/>
          <w:highlight w:val="none"/>
        </w:rPr>
        <w:t>年度部门</w:t>
      </w:r>
      <w:bookmarkStart w:id="119" w:name="_GoBack"/>
      <w:bookmarkEnd w:id="119"/>
      <w:r>
        <w:rPr>
          <w:rFonts w:hint="eastAsia" w:ascii="仿宋_GB2312" w:hAnsi="ˎ̥" w:eastAsia="仿宋_GB2312"/>
          <w:color w:val="auto"/>
          <w:sz w:val="32"/>
          <w:szCs w:val="32"/>
          <w:highlight w:val="none"/>
        </w:rPr>
        <w:t>决算F0</w:t>
      </w:r>
      <w:r>
        <w:rPr>
          <w:rFonts w:hint="default" w:ascii="仿宋_GB2312" w:hAnsi="ˎ̥" w:eastAsia="仿宋_GB2312"/>
          <w:color w:val="auto"/>
          <w:sz w:val="32"/>
          <w:szCs w:val="32"/>
          <w:highlight w:val="none"/>
          <w:lang w:val="en-US"/>
        </w:rPr>
        <w:t>2</w:t>
      </w:r>
      <w:r>
        <w:rPr>
          <w:rFonts w:hint="eastAsia" w:ascii="仿宋_GB2312" w:hAnsi="ˎ̥" w:eastAsia="仿宋_GB2312"/>
          <w:color w:val="auto"/>
          <w:sz w:val="32"/>
          <w:szCs w:val="32"/>
          <w:highlight w:val="none"/>
        </w:rPr>
        <w:t>表《预算支出相关信息表》、F03表《机构运行信息表》。）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黑体" w:hAnsi="ˎ̥" w:eastAsia="黑体"/>
          <w:color w:val="auto"/>
          <w:sz w:val="32"/>
          <w:szCs w:val="32"/>
          <w:highlight w:val="none"/>
        </w:rPr>
      </w:pPr>
      <w:bookmarkStart w:id="113" w:name="_Toc4398_WPSOffice_Level1"/>
      <w:bookmarkStart w:id="114" w:name="_Toc15425_WPSOffice_Level1"/>
      <w:bookmarkStart w:id="115" w:name="_Toc17580_WPSOffice_Level1"/>
      <w:bookmarkStart w:id="116" w:name="_Toc8874_WPSOffice_Level1"/>
      <w:bookmarkStart w:id="117" w:name="_Toc11039_WPSOffice_Level1"/>
      <w:bookmarkStart w:id="118" w:name="_Toc8808_WPSOffice_Level1"/>
      <w:r>
        <w:rPr>
          <w:rFonts w:hint="eastAsia" w:ascii="黑体" w:hAnsi="ˎ̥" w:eastAsia="黑体"/>
          <w:color w:val="auto"/>
          <w:sz w:val="32"/>
          <w:szCs w:val="32"/>
          <w:highlight w:val="none"/>
        </w:rPr>
        <w:t>第四部分  名词解释</w:t>
      </w:r>
      <w:bookmarkEnd w:id="113"/>
      <w:bookmarkEnd w:id="114"/>
      <w:bookmarkEnd w:id="115"/>
      <w:bookmarkEnd w:id="116"/>
      <w:bookmarkEnd w:id="117"/>
      <w:bookmarkEnd w:id="118"/>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lang w:val="en-US" w:eastAsia="zh-CN"/>
        </w:rPr>
        <w:t>一、</w:t>
      </w:r>
      <w:r>
        <w:rPr>
          <w:rFonts w:hint="eastAsia" w:ascii="仿宋_GB2312" w:hAnsi="ˎ̥" w:eastAsia="仿宋_GB2312"/>
          <w:color w:val="auto"/>
          <w:sz w:val="32"/>
          <w:szCs w:val="32"/>
          <w:highlight w:val="none"/>
        </w:rPr>
        <w:t>财政拨款收入：指同级政府财政部门当年拨付的各类财政拨款。</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二、上级补助收入：指事业单位从主管部门和上级单位取得的非财政补助收入。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三、事业收入：指事业单位开展专业业务活动及辅助活动取得的收入。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四、经营收入：指事业单位在专业业务活动及其辅助活动之外开展非独立核算经营活动取得的收入。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五、附属单位上缴收入：指事业单位取得附属独立核算单位根据有关规定上缴的收入。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六、其他收入：指除上述“财政拨款收入”“事业收入”“上级补助收入”“经营收入”“附属单位上缴收入”等以外的收入。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七、使用非财政拨款结余：指事业单位在当年的“财政拨款收入”“事业收入”“经营收入”“其他收入”等不足以安排当年支出的情况下，使用非同级财政拨款结余资金弥补本年度收支缺口。</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八、年初结转和结余：指以前年度尚未完成、结转到本年按有关规定继续使用的资金，或项目已完成等产生的结余资金。</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九、结余分配：指事业单位缴纳企业所得税以及从非财政拨款结余或经营结余中提取各类结余的情况。</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十一、基本支出：指为保障机构正常运转、完成日常工作任务而发生的人员支出和公用支出。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十二、项目支出：指在基本支出之外为完成特定行政任务和事业发展目标所发生的支出。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十三、经营支出：指事业单位在专业业务活动及其辅助活动之外开展非独立核算经营活动发生的支出。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keepNext w:val="0"/>
        <w:keepLines w:val="0"/>
        <w:pageBreakBefore w:val="0"/>
        <w:widowControl w:val="0"/>
        <w:kinsoku/>
        <w:wordWrap/>
        <w:overflowPunct/>
        <w:topLinePunct w:val="0"/>
        <w:autoSpaceDE/>
        <w:autoSpaceDN/>
        <w:bidi w:val="0"/>
        <w:adjustRightInd/>
        <w:snapToGrid/>
        <w:spacing w:line="578" w:lineRule="exact"/>
        <w:textAlignment w:val="auto"/>
        <w:rPr>
          <w:color w:val="auto"/>
          <w:highlight w:val="none"/>
        </w:rPr>
      </w:pP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18</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F44D97"/>
    <w:multiLevelType w:val="singleLevel"/>
    <w:tmpl w:val="18F44D97"/>
    <w:lvl w:ilvl="0" w:tentative="0">
      <w:start w:val="1"/>
      <w:numFmt w:val="chineseCounting"/>
      <w:suff w:val="nothing"/>
      <w:lvlText w:val="%1、"/>
      <w:lvlJc w:val="left"/>
      <w:rPr>
        <w:rFonts w:hint="eastAsia"/>
      </w:rPr>
    </w:lvl>
  </w:abstractNum>
  <w:abstractNum w:abstractNumId="1">
    <w:nsid w:val="60E05E07"/>
    <w:multiLevelType w:val="singleLevel"/>
    <w:tmpl w:val="60E05E07"/>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3NTQzNDg5MWY1MjhmZmI0YjY2M2Y1ZWE0OWMwNzE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1D37272"/>
    <w:rsid w:val="01E66FA5"/>
    <w:rsid w:val="020F7B7E"/>
    <w:rsid w:val="033A1E1D"/>
    <w:rsid w:val="03411FB9"/>
    <w:rsid w:val="03C54999"/>
    <w:rsid w:val="04497378"/>
    <w:rsid w:val="04812FB5"/>
    <w:rsid w:val="04CC1D57"/>
    <w:rsid w:val="04FC43EA"/>
    <w:rsid w:val="05504736"/>
    <w:rsid w:val="05972365"/>
    <w:rsid w:val="05CC369C"/>
    <w:rsid w:val="05D15877"/>
    <w:rsid w:val="06936FD0"/>
    <w:rsid w:val="0780023B"/>
    <w:rsid w:val="078057A6"/>
    <w:rsid w:val="07F10452"/>
    <w:rsid w:val="082C148A"/>
    <w:rsid w:val="084762C4"/>
    <w:rsid w:val="084F6F27"/>
    <w:rsid w:val="08CC4A1B"/>
    <w:rsid w:val="09201287"/>
    <w:rsid w:val="0963712E"/>
    <w:rsid w:val="09EF276F"/>
    <w:rsid w:val="0A23066B"/>
    <w:rsid w:val="0AA7304A"/>
    <w:rsid w:val="0B024724"/>
    <w:rsid w:val="0B17001C"/>
    <w:rsid w:val="0B1C3A38"/>
    <w:rsid w:val="0B512FB6"/>
    <w:rsid w:val="0BAB1576"/>
    <w:rsid w:val="0C322DE7"/>
    <w:rsid w:val="0CB11F5E"/>
    <w:rsid w:val="0DE93979"/>
    <w:rsid w:val="0F2A5FF8"/>
    <w:rsid w:val="0FC80124"/>
    <w:rsid w:val="10260EB5"/>
    <w:rsid w:val="108A4FA0"/>
    <w:rsid w:val="10DF5248"/>
    <w:rsid w:val="10E02E12"/>
    <w:rsid w:val="11DC2644"/>
    <w:rsid w:val="123F1DBA"/>
    <w:rsid w:val="132C233E"/>
    <w:rsid w:val="13553791"/>
    <w:rsid w:val="13597D74"/>
    <w:rsid w:val="136F98C7"/>
    <w:rsid w:val="13873A19"/>
    <w:rsid w:val="14883EEC"/>
    <w:rsid w:val="157601E9"/>
    <w:rsid w:val="164E4CC1"/>
    <w:rsid w:val="17427E68"/>
    <w:rsid w:val="1755065F"/>
    <w:rsid w:val="17A34B99"/>
    <w:rsid w:val="17DB07D7"/>
    <w:rsid w:val="17F11DA8"/>
    <w:rsid w:val="18115FA7"/>
    <w:rsid w:val="195E16BF"/>
    <w:rsid w:val="19832ED4"/>
    <w:rsid w:val="1A366F61"/>
    <w:rsid w:val="1AB23A71"/>
    <w:rsid w:val="1AFC29C9"/>
    <w:rsid w:val="1B5465DE"/>
    <w:rsid w:val="1B79458F"/>
    <w:rsid w:val="1B8D003A"/>
    <w:rsid w:val="1CA52F2E"/>
    <w:rsid w:val="1CF540E9"/>
    <w:rsid w:val="1D646B79"/>
    <w:rsid w:val="1DCB6BF8"/>
    <w:rsid w:val="1DEA1774"/>
    <w:rsid w:val="1DFE370B"/>
    <w:rsid w:val="1E3630B9"/>
    <w:rsid w:val="1F6317DE"/>
    <w:rsid w:val="200D799B"/>
    <w:rsid w:val="20F87D04"/>
    <w:rsid w:val="21755442"/>
    <w:rsid w:val="22C81958"/>
    <w:rsid w:val="22E449E3"/>
    <w:rsid w:val="231D6147"/>
    <w:rsid w:val="23404506"/>
    <w:rsid w:val="242B4894"/>
    <w:rsid w:val="248A3369"/>
    <w:rsid w:val="24D03622"/>
    <w:rsid w:val="253C119F"/>
    <w:rsid w:val="25457290"/>
    <w:rsid w:val="258B383C"/>
    <w:rsid w:val="26712A32"/>
    <w:rsid w:val="26977FBF"/>
    <w:rsid w:val="26CD578F"/>
    <w:rsid w:val="26E44A03"/>
    <w:rsid w:val="26E825C8"/>
    <w:rsid w:val="26EEC2B5"/>
    <w:rsid w:val="272F6449"/>
    <w:rsid w:val="273B6B9C"/>
    <w:rsid w:val="27ED433A"/>
    <w:rsid w:val="28A454C6"/>
    <w:rsid w:val="28B210E0"/>
    <w:rsid w:val="28EA6ACC"/>
    <w:rsid w:val="29472309"/>
    <w:rsid w:val="29CD4E0F"/>
    <w:rsid w:val="2A495A74"/>
    <w:rsid w:val="2AAD6003"/>
    <w:rsid w:val="2B2D2CA0"/>
    <w:rsid w:val="2B406E77"/>
    <w:rsid w:val="2BA72A52"/>
    <w:rsid w:val="2C2A0C43"/>
    <w:rsid w:val="2CCE400E"/>
    <w:rsid w:val="2D1E73A5"/>
    <w:rsid w:val="2D546C0A"/>
    <w:rsid w:val="2E1B3283"/>
    <w:rsid w:val="2F0401BB"/>
    <w:rsid w:val="2FC2218E"/>
    <w:rsid w:val="2FFC5597"/>
    <w:rsid w:val="3062163D"/>
    <w:rsid w:val="30705B08"/>
    <w:rsid w:val="30A9726C"/>
    <w:rsid w:val="314407FC"/>
    <w:rsid w:val="31C61758"/>
    <w:rsid w:val="32717154"/>
    <w:rsid w:val="32A36A1D"/>
    <w:rsid w:val="32EA3089"/>
    <w:rsid w:val="34B63260"/>
    <w:rsid w:val="34BB756E"/>
    <w:rsid w:val="35447564"/>
    <w:rsid w:val="35521C81"/>
    <w:rsid w:val="35C0308E"/>
    <w:rsid w:val="36653C36"/>
    <w:rsid w:val="369E0EF6"/>
    <w:rsid w:val="37B95FE7"/>
    <w:rsid w:val="37BA3B0D"/>
    <w:rsid w:val="37FDA7E2"/>
    <w:rsid w:val="390239BE"/>
    <w:rsid w:val="394E09B1"/>
    <w:rsid w:val="395502BF"/>
    <w:rsid w:val="39C42A21"/>
    <w:rsid w:val="39E3559D"/>
    <w:rsid w:val="3A314D88"/>
    <w:rsid w:val="3A746883"/>
    <w:rsid w:val="3AA82343"/>
    <w:rsid w:val="3B4958D4"/>
    <w:rsid w:val="3BAE1BDB"/>
    <w:rsid w:val="3BC74A4B"/>
    <w:rsid w:val="3C3814A4"/>
    <w:rsid w:val="3C9B3F0D"/>
    <w:rsid w:val="3CA15DE9"/>
    <w:rsid w:val="3CC52F91"/>
    <w:rsid w:val="3DCE20C0"/>
    <w:rsid w:val="3DD0408A"/>
    <w:rsid w:val="3DF00289"/>
    <w:rsid w:val="3E410AE4"/>
    <w:rsid w:val="3E8B6203"/>
    <w:rsid w:val="3EB73105"/>
    <w:rsid w:val="3F220916"/>
    <w:rsid w:val="3FA07A8C"/>
    <w:rsid w:val="3FE61EE5"/>
    <w:rsid w:val="403D352D"/>
    <w:rsid w:val="40490124"/>
    <w:rsid w:val="406508EE"/>
    <w:rsid w:val="408D6263"/>
    <w:rsid w:val="41B40CEE"/>
    <w:rsid w:val="422E5823"/>
    <w:rsid w:val="43FE3C9E"/>
    <w:rsid w:val="443469F5"/>
    <w:rsid w:val="4488746D"/>
    <w:rsid w:val="460A2104"/>
    <w:rsid w:val="4654512D"/>
    <w:rsid w:val="465B295F"/>
    <w:rsid w:val="46C2653A"/>
    <w:rsid w:val="46C806C2"/>
    <w:rsid w:val="47376F28"/>
    <w:rsid w:val="473C62ED"/>
    <w:rsid w:val="47590C4D"/>
    <w:rsid w:val="479E2B03"/>
    <w:rsid w:val="48317291"/>
    <w:rsid w:val="485F7024"/>
    <w:rsid w:val="48D569F9"/>
    <w:rsid w:val="48E70666"/>
    <w:rsid w:val="499A554C"/>
    <w:rsid w:val="4A6F69D9"/>
    <w:rsid w:val="4B0215FB"/>
    <w:rsid w:val="4B702A09"/>
    <w:rsid w:val="4B863FDA"/>
    <w:rsid w:val="4BC52D55"/>
    <w:rsid w:val="4C6877E5"/>
    <w:rsid w:val="4D6A468D"/>
    <w:rsid w:val="4DA22C22"/>
    <w:rsid w:val="4E395334"/>
    <w:rsid w:val="4E571C5E"/>
    <w:rsid w:val="4E6C395B"/>
    <w:rsid w:val="4E8C7B5A"/>
    <w:rsid w:val="4EA86137"/>
    <w:rsid w:val="50212524"/>
    <w:rsid w:val="50306C0B"/>
    <w:rsid w:val="504D7564"/>
    <w:rsid w:val="50D15CF8"/>
    <w:rsid w:val="51905BB3"/>
    <w:rsid w:val="5367701A"/>
    <w:rsid w:val="5373753A"/>
    <w:rsid w:val="53777BB8"/>
    <w:rsid w:val="54556C40"/>
    <w:rsid w:val="54CB6F02"/>
    <w:rsid w:val="550A7A2A"/>
    <w:rsid w:val="554051FA"/>
    <w:rsid w:val="556F788D"/>
    <w:rsid w:val="55780E38"/>
    <w:rsid w:val="565E627F"/>
    <w:rsid w:val="565F3DA6"/>
    <w:rsid w:val="56892BD1"/>
    <w:rsid w:val="56A30136"/>
    <w:rsid w:val="56CA7FD0"/>
    <w:rsid w:val="57233025"/>
    <w:rsid w:val="57E83927"/>
    <w:rsid w:val="57FA38D1"/>
    <w:rsid w:val="585F008D"/>
    <w:rsid w:val="58D5034F"/>
    <w:rsid w:val="59407EBE"/>
    <w:rsid w:val="59785FE1"/>
    <w:rsid w:val="5A1B4488"/>
    <w:rsid w:val="5A3A2B60"/>
    <w:rsid w:val="5A5A4FB0"/>
    <w:rsid w:val="5ACD2D08"/>
    <w:rsid w:val="5AF96577"/>
    <w:rsid w:val="5B4A5024"/>
    <w:rsid w:val="5B5E5CCC"/>
    <w:rsid w:val="5C1967A5"/>
    <w:rsid w:val="5D704AEA"/>
    <w:rsid w:val="5D7C348F"/>
    <w:rsid w:val="5DED613B"/>
    <w:rsid w:val="5E135BA1"/>
    <w:rsid w:val="5E8B1BDC"/>
    <w:rsid w:val="5F27742B"/>
    <w:rsid w:val="5F7D3333"/>
    <w:rsid w:val="61385890"/>
    <w:rsid w:val="61E909C7"/>
    <w:rsid w:val="625C01F0"/>
    <w:rsid w:val="62764951"/>
    <w:rsid w:val="63497970"/>
    <w:rsid w:val="6390559E"/>
    <w:rsid w:val="63DA0F0F"/>
    <w:rsid w:val="63E63410"/>
    <w:rsid w:val="65AC068A"/>
    <w:rsid w:val="65DB73CB"/>
    <w:rsid w:val="65F91B21"/>
    <w:rsid w:val="66495ED8"/>
    <w:rsid w:val="668B0B2C"/>
    <w:rsid w:val="66DD4F9F"/>
    <w:rsid w:val="67376C31"/>
    <w:rsid w:val="674212A6"/>
    <w:rsid w:val="677F6056"/>
    <w:rsid w:val="687436E1"/>
    <w:rsid w:val="68A67612"/>
    <w:rsid w:val="68B47F81"/>
    <w:rsid w:val="69554F9B"/>
    <w:rsid w:val="696B5954"/>
    <w:rsid w:val="69DC778F"/>
    <w:rsid w:val="6A010E61"/>
    <w:rsid w:val="6A8D0A8A"/>
    <w:rsid w:val="6AB66683"/>
    <w:rsid w:val="6ABF49BB"/>
    <w:rsid w:val="6AEC1C54"/>
    <w:rsid w:val="6AFC5C0F"/>
    <w:rsid w:val="6B256F14"/>
    <w:rsid w:val="6BA3608B"/>
    <w:rsid w:val="6C6F05A8"/>
    <w:rsid w:val="6D631F76"/>
    <w:rsid w:val="6D7D4DE5"/>
    <w:rsid w:val="6D7E1DC5"/>
    <w:rsid w:val="6DA45C50"/>
    <w:rsid w:val="6E1374F8"/>
    <w:rsid w:val="6E9A7825"/>
    <w:rsid w:val="6F0D3F47"/>
    <w:rsid w:val="6F3E05A4"/>
    <w:rsid w:val="6F670F9B"/>
    <w:rsid w:val="7048537D"/>
    <w:rsid w:val="70C525FF"/>
    <w:rsid w:val="71E77521"/>
    <w:rsid w:val="71F80EDE"/>
    <w:rsid w:val="72750781"/>
    <w:rsid w:val="72FA6ED8"/>
    <w:rsid w:val="733F0D8F"/>
    <w:rsid w:val="737450E0"/>
    <w:rsid w:val="739A67D1"/>
    <w:rsid w:val="73CA68AB"/>
    <w:rsid w:val="74054476"/>
    <w:rsid w:val="742F38C4"/>
    <w:rsid w:val="746C1710"/>
    <w:rsid w:val="749F7D37"/>
    <w:rsid w:val="74AB66DC"/>
    <w:rsid w:val="74C4154C"/>
    <w:rsid w:val="74C93693"/>
    <w:rsid w:val="74CC6652"/>
    <w:rsid w:val="75956FFF"/>
    <w:rsid w:val="75B94E29"/>
    <w:rsid w:val="75E874BC"/>
    <w:rsid w:val="765E777E"/>
    <w:rsid w:val="76D31F1A"/>
    <w:rsid w:val="76DA5057"/>
    <w:rsid w:val="76E557A9"/>
    <w:rsid w:val="77183DD1"/>
    <w:rsid w:val="77866F8C"/>
    <w:rsid w:val="77AA2D01"/>
    <w:rsid w:val="785C7CED"/>
    <w:rsid w:val="78782D79"/>
    <w:rsid w:val="79F44681"/>
    <w:rsid w:val="7ABD0F17"/>
    <w:rsid w:val="7B0326A2"/>
    <w:rsid w:val="7B25086A"/>
    <w:rsid w:val="7C655ACF"/>
    <w:rsid w:val="7CB93960"/>
    <w:rsid w:val="7CDE1DBD"/>
    <w:rsid w:val="7D1B1F25"/>
    <w:rsid w:val="7D943A85"/>
    <w:rsid w:val="7DB0448C"/>
    <w:rsid w:val="7DC720AD"/>
    <w:rsid w:val="7E1E4FC8"/>
    <w:rsid w:val="7E5F9AA4"/>
    <w:rsid w:val="7E611BB9"/>
    <w:rsid w:val="7EC62364"/>
    <w:rsid w:val="7F100EFC"/>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5526</Words>
  <Characters>6221</Characters>
  <Lines>67</Lines>
  <Paragraphs>18</Paragraphs>
  <TotalTime>12</TotalTime>
  <ScaleCrop>false</ScaleCrop>
  <LinksUpToDate>false</LinksUpToDate>
  <CharactersWithSpaces>6277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住建局财务</cp:lastModifiedBy>
  <cp:lastPrinted>2023-08-03T00:58:00Z</cp:lastPrinted>
  <dcterms:modified xsi:type="dcterms:W3CDTF">2026-09-04T01:26:18Z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020FCCACA94A468C8B6553DC462C358F</vt:lpwstr>
  </property>
  <property fmtid="{D5CDD505-2E9C-101B-9397-08002B2CF9AE}" pid="4" name="KSOTemplateDocerSaveRecord">
    <vt:lpwstr>eyJoZGlkIjoiY2VlZThlZDk5ZTQ4MTFjNGY3MjIxNTdiOWMzZmQwMWMiLCJ1c2VySWQiOiIyMzQ5MTc1OTYifQ==</vt:lpwstr>
  </property>
</Properties>
</file>