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8" w:lineRule="exact"/>
        <w:jc w:val="center"/>
        <w:rPr>
          <w:rFonts w:eastAsiaTheme="majorEastAsia"/>
          <w:b/>
          <w:bCs/>
          <w:sz w:val="44"/>
          <w:szCs w:val="44"/>
        </w:rPr>
      </w:pPr>
      <w:r>
        <w:rPr>
          <w:rFonts w:eastAsiaTheme="majorEastAsia"/>
          <w:b/>
          <w:bCs/>
          <w:sz w:val="44"/>
          <w:szCs w:val="44"/>
        </w:rPr>
        <w:t>比如县市场监督管理局2025年度部门决算</w:t>
      </w:r>
    </w:p>
    <w:p>
      <w:pPr>
        <w:spacing w:line="578" w:lineRule="exact"/>
        <w:jc w:val="center"/>
        <w:rPr>
          <w:rFonts w:eastAsiaTheme="majorEastAsia"/>
          <w:b/>
          <w:bCs/>
          <w:sz w:val="44"/>
          <w:szCs w:val="44"/>
        </w:rPr>
      </w:pPr>
      <w:r>
        <w:rPr>
          <w:rFonts w:eastAsiaTheme="majorEastAsia"/>
          <w:b/>
          <w:bCs/>
          <w:sz w:val="44"/>
          <w:szCs w:val="44"/>
        </w:rPr>
        <w:t>公开报告</w:t>
      </w:r>
    </w:p>
    <w:p>
      <w:pPr>
        <w:spacing w:line="578" w:lineRule="exact"/>
        <w:rPr>
          <w:rFonts w:eastAsia="黑体"/>
          <w:b/>
          <w:sz w:val="32"/>
          <w:szCs w:val="32"/>
        </w:rPr>
      </w:pPr>
    </w:p>
    <w:p>
      <w:pPr>
        <w:spacing w:line="578" w:lineRule="exact"/>
        <w:jc w:val="center"/>
        <w:rPr>
          <w:rFonts w:eastAsia="黑体"/>
          <w:sz w:val="44"/>
          <w:szCs w:val="44"/>
        </w:rPr>
      </w:pPr>
      <w:bookmarkStart w:id="0" w:name="_Toc11440_WPSOffice_Type2"/>
      <w:r>
        <w:rPr>
          <w:rFonts w:eastAsia="黑体"/>
          <w:sz w:val="44"/>
          <w:szCs w:val="44"/>
        </w:rPr>
        <w:t>目录</w:t>
      </w:r>
    </w:p>
    <w:p>
      <w:pPr>
        <w:pStyle w:val="15"/>
        <w:tabs>
          <w:tab w:val="right" w:leader="dot" w:pos="8306"/>
        </w:tabs>
        <w:spacing w:line="578" w:lineRule="exact"/>
        <w:rPr>
          <w:sz w:val="32"/>
          <w:szCs w:val="32"/>
        </w:rPr>
      </w:pPr>
      <w:r>
        <w:fldChar w:fldCharType="begin"/>
      </w:r>
      <w:r>
        <w:instrText xml:space="preserve"> HYPERLINK \l "_Toc1704_WPSOffice_Level1" </w:instrText>
      </w:r>
      <w:r>
        <w:fldChar w:fldCharType="separate"/>
      </w:r>
      <w:r>
        <w:rPr>
          <w:rFonts w:eastAsia="黑体"/>
          <w:sz w:val="32"/>
          <w:szCs w:val="32"/>
        </w:rPr>
        <w:t>第一部分基本情况</w:t>
      </w:r>
      <w:r>
        <w:rPr>
          <w:sz w:val="32"/>
          <w:szCs w:val="32"/>
        </w:rPr>
        <w:tab/>
      </w:r>
      <w:r>
        <w:rPr>
          <w:sz w:val="32"/>
          <w:szCs w:val="32"/>
        </w:rPr>
        <w:fldChar w:fldCharType="end"/>
      </w:r>
      <w:r>
        <w:rPr>
          <w:sz w:val="32"/>
          <w:szCs w:val="32"/>
        </w:rPr>
        <w:t>2</w:t>
      </w:r>
    </w:p>
    <w:p>
      <w:pPr>
        <w:pStyle w:val="16"/>
        <w:tabs>
          <w:tab w:val="right" w:leader="dot" w:pos="8306"/>
        </w:tabs>
        <w:spacing w:line="578" w:lineRule="exact"/>
        <w:ind w:leftChars="0"/>
        <w:rPr>
          <w:rFonts w:eastAsia="仿宋"/>
          <w:sz w:val="32"/>
          <w:szCs w:val="32"/>
        </w:rPr>
      </w:pPr>
      <w:r>
        <w:fldChar w:fldCharType="begin"/>
      </w:r>
      <w:r>
        <w:instrText xml:space="preserve"> HYPERLINK \l "_Toc20274_WPSOffice_Level2" </w:instrText>
      </w:r>
      <w:r>
        <w:fldChar w:fldCharType="separate"/>
      </w:r>
      <w:r>
        <w:rPr>
          <w:rFonts w:eastAsia="仿宋"/>
          <w:sz w:val="32"/>
          <w:szCs w:val="32"/>
        </w:rPr>
        <w:t>一、部门（单位）职责</w:t>
      </w:r>
      <w:r>
        <w:rPr>
          <w:rFonts w:eastAsia="仿宋"/>
          <w:sz w:val="32"/>
          <w:szCs w:val="32"/>
        </w:rPr>
        <w:tab/>
      </w:r>
      <w:r>
        <w:rPr>
          <w:rFonts w:eastAsia="仿宋"/>
          <w:sz w:val="32"/>
          <w:szCs w:val="32"/>
        </w:rPr>
        <w:fldChar w:fldCharType="end"/>
      </w:r>
      <w:r>
        <w:rPr>
          <w:rFonts w:eastAsia="仿宋"/>
          <w:sz w:val="32"/>
          <w:szCs w:val="32"/>
        </w:rPr>
        <w:t>2</w:t>
      </w:r>
    </w:p>
    <w:p>
      <w:pPr>
        <w:pStyle w:val="16"/>
        <w:tabs>
          <w:tab w:val="right" w:leader="dot" w:pos="8306"/>
        </w:tabs>
        <w:spacing w:line="578" w:lineRule="exact"/>
        <w:ind w:leftChars="0"/>
        <w:rPr>
          <w:rFonts w:eastAsia="仿宋"/>
          <w:sz w:val="32"/>
          <w:szCs w:val="32"/>
        </w:rPr>
      </w:pPr>
      <w:r>
        <w:fldChar w:fldCharType="begin"/>
      </w:r>
      <w:r>
        <w:instrText xml:space="preserve"> HYPERLINK \l "_Toc4833_WPSOffice_Level2" </w:instrText>
      </w:r>
      <w:r>
        <w:fldChar w:fldCharType="separate"/>
      </w:r>
      <w:r>
        <w:rPr>
          <w:rFonts w:eastAsia="仿宋"/>
          <w:sz w:val="32"/>
          <w:szCs w:val="32"/>
        </w:rPr>
        <w:t>二、机构设置</w:t>
      </w:r>
      <w:r>
        <w:rPr>
          <w:rFonts w:eastAsia="仿宋"/>
          <w:sz w:val="32"/>
          <w:szCs w:val="32"/>
        </w:rPr>
        <w:tab/>
      </w:r>
      <w:r>
        <w:rPr>
          <w:rFonts w:eastAsia="仿宋"/>
          <w:sz w:val="32"/>
          <w:szCs w:val="32"/>
        </w:rPr>
        <w:fldChar w:fldCharType="end"/>
      </w:r>
      <w:r>
        <w:rPr>
          <w:rFonts w:eastAsia="仿宋"/>
          <w:sz w:val="32"/>
          <w:szCs w:val="32"/>
        </w:rPr>
        <w:t>2</w:t>
      </w:r>
    </w:p>
    <w:p>
      <w:pPr>
        <w:pStyle w:val="15"/>
        <w:tabs>
          <w:tab w:val="right" w:leader="dot" w:pos="8306"/>
        </w:tabs>
        <w:spacing w:line="578" w:lineRule="exact"/>
        <w:rPr>
          <w:sz w:val="32"/>
          <w:szCs w:val="32"/>
        </w:rPr>
      </w:pPr>
      <w:r>
        <w:fldChar w:fldCharType="begin"/>
      </w:r>
      <w:r>
        <w:instrText xml:space="preserve"> HYPERLINK \l "_Toc28253_WPSOffice_Level1" </w:instrText>
      </w:r>
      <w:r>
        <w:fldChar w:fldCharType="separate"/>
      </w:r>
      <w:r>
        <w:rPr>
          <w:rFonts w:eastAsia="黑体"/>
          <w:sz w:val="32"/>
          <w:szCs w:val="32"/>
        </w:rPr>
        <w:t>第二部分2025年度部门决算公开表</w:t>
      </w:r>
      <w:r>
        <w:rPr>
          <w:sz w:val="32"/>
          <w:szCs w:val="32"/>
        </w:rPr>
        <w:tab/>
      </w:r>
      <w:r>
        <w:rPr>
          <w:sz w:val="32"/>
          <w:szCs w:val="32"/>
        </w:rPr>
        <w:fldChar w:fldCharType="end"/>
      </w:r>
      <w:r>
        <w:rPr>
          <w:sz w:val="32"/>
          <w:szCs w:val="32"/>
        </w:rPr>
        <w:t>2</w:t>
      </w:r>
    </w:p>
    <w:p>
      <w:pPr>
        <w:pStyle w:val="15"/>
        <w:tabs>
          <w:tab w:val="right" w:leader="dot" w:pos="8306"/>
        </w:tabs>
        <w:spacing w:line="578" w:lineRule="exact"/>
        <w:rPr>
          <w:sz w:val="32"/>
          <w:szCs w:val="32"/>
        </w:rPr>
      </w:pPr>
      <w:r>
        <w:fldChar w:fldCharType="begin"/>
      </w:r>
      <w:r>
        <w:instrText xml:space="preserve"> HYPERLINK \l "_Toc27590_WPSOffice_Level1" </w:instrText>
      </w:r>
      <w:r>
        <w:fldChar w:fldCharType="separate"/>
      </w:r>
      <w:r>
        <w:rPr>
          <w:rFonts w:eastAsia="黑体"/>
          <w:sz w:val="32"/>
          <w:szCs w:val="32"/>
        </w:rPr>
        <w:t>第三部分2025年度部门决算情况说明</w:t>
      </w:r>
      <w:r>
        <w:rPr>
          <w:sz w:val="32"/>
          <w:szCs w:val="32"/>
        </w:rPr>
        <w:tab/>
      </w:r>
      <w:r>
        <w:rPr>
          <w:sz w:val="32"/>
          <w:szCs w:val="32"/>
        </w:rPr>
        <w:fldChar w:fldCharType="end"/>
      </w:r>
      <w:r>
        <w:rPr>
          <w:sz w:val="32"/>
          <w:szCs w:val="32"/>
        </w:rPr>
        <w:t>3</w:t>
      </w:r>
    </w:p>
    <w:p>
      <w:pPr>
        <w:pStyle w:val="16"/>
        <w:tabs>
          <w:tab w:val="right" w:leader="dot" w:pos="8306"/>
        </w:tabs>
        <w:spacing w:line="578" w:lineRule="exact"/>
        <w:ind w:leftChars="0"/>
        <w:rPr>
          <w:rFonts w:eastAsia="仿宋"/>
          <w:sz w:val="32"/>
          <w:szCs w:val="32"/>
        </w:rPr>
      </w:pPr>
      <w:r>
        <w:fldChar w:fldCharType="begin"/>
      </w:r>
      <w:r>
        <w:instrText xml:space="preserve"> HYPERLINK \l "_Toc21737_WPSOffice_Level2" </w:instrText>
      </w:r>
      <w:r>
        <w:fldChar w:fldCharType="separate"/>
      </w:r>
      <w:r>
        <w:rPr>
          <w:rFonts w:eastAsia="仿宋"/>
          <w:bCs/>
          <w:sz w:val="32"/>
          <w:szCs w:val="32"/>
        </w:rPr>
        <w:t>一、收入支出总体情况说明</w:t>
      </w:r>
      <w:r>
        <w:rPr>
          <w:rFonts w:eastAsia="仿宋"/>
          <w:sz w:val="32"/>
          <w:szCs w:val="32"/>
        </w:rPr>
        <w:tab/>
      </w:r>
      <w:r>
        <w:rPr>
          <w:rFonts w:eastAsia="仿宋"/>
          <w:sz w:val="32"/>
          <w:szCs w:val="32"/>
        </w:rPr>
        <w:fldChar w:fldCharType="end"/>
      </w:r>
      <w:r>
        <w:rPr>
          <w:rFonts w:eastAsia="仿宋"/>
          <w:sz w:val="32"/>
          <w:szCs w:val="32"/>
        </w:rPr>
        <w:t>3</w:t>
      </w:r>
    </w:p>
    <w:p>
      <w:pPr>
        <w:pStyle w:val="16"/>
        <w:tabs>
          <w:tab w:val="right" w:leader="dot" w:pos="8306"/>
        </w:tabs>
        <w:spacing w:line="578" w:lineRule="exact"/>
        <w:ind w:leftChars="0"/>
        <w:rPr>
          <w:rFonts w:eastAsia="仿宋"/>
          <w:sz w:val="32"/>
          <w:szCs w:val="32"/>
        </w:rPr>
      </w:pPr>
      <w:r>
        <w:fldChar w:fldCharType="begin"/>
      </w:r>
      <w:r>
        <w:instrText xml:space="preserve"> HYPERLINK \l "_Toc19535_WPSOffice_Level2" </w:instrText>
      </w:r>
      <w:r>
        <w:fldChar w:fldCharType="separate"/>
      </w:r>
      <w:r>
        <w:rPr>
          <w:rFonts w:eastAsia="仿宋"/>
          <w:bCs/>
          <w:sz w:val="32"/>
          <w:szCs w:val="32"/>
        </w:rPr>
        <w:t>二、收入决算情况说明</w:t>
      </w:r>
      <w:r>
        <w:rPr>
          <w:rFonts w:eastAsia="仿宋"/>
          <w:sz w:val="32"/>
          <w:szCs w:val="32"/>
        </w:rPr>
        <w:tab/>
      </w:r>
      <w:r>
        <w:rPr>
          <w:rFonts w:eastAsia="仿宋"/>
          <w:sz w:val="32"/>
          <w:szCs w:val="32"/>
        </w:rPr>
        <w:fldChar w:fldCharType="end"/>
      </w:r>
      <w:r>
        <w:rPr>
          <w:rFonts w:eastAsia="仿宋"/>
          <w:sz w:val="32"/>
          <w:szCs w:val="32"/>
        </w:rPr>
        <w:t>3</w:t>
      </w:r>
    </w:p>
    <w:p>
      <w:pPr>
        <w:pStyle w:val="16"/>
        <w:tabs>
          <w:tab w:val="right" w:leader="dot" w:pos="8306"/>
        </w:tabs>
        <w:spacing w:line="578" w:lineRule="exact"/>
        <w:ind w:leftChars="0"/>
        <w:rPr>
          <w:rFonts w:eastAsia="仿宋"/>
          <w:sz w:val="32"/>
          <w:szCs w:val="32"/>
        </w:rPr>
      </w:pPr>
      <w:r>
        <w:fldChar w:fldCharType="begin"/>
      </w:r>
      <w:r>
        <w:instrText xml:space="preserve"> HYPERLINK \l "_Toc19535_WPSOffice_Level2" </w:instrText>
      </w:r>
      <w:r>
        <w:fldChar w:fldCharType="separate"/>
      </w:r>
      <w:r>
        <w:rPr>
          <w:rFonts w:eastAsia="仿宋"/>
          <w:bCs/>
          <w:sz w:val="32"/>
          <w:szCs w:val="32"/>
        </w:rPr>
        <w:t>三、支出决算情况说明</w:t>
      </w:r>
      <w:r>
        <w:rPr>
          <w:rFonts w:eastAsia="仿宋"/>
          <w:sz w:val="32"/>
          <w:szCs w:val="32"/>
        </w:rPr>
        <w:tab/>
      </w:r>
      <w:r>
        <w:rPr>
          <w:rFonts w:eastAsia="仿宋"/>
          <w:sz w:val="32"/>
          <w:szCs w:val="32"/>
        </w:rPr>
        <w:fldChar w:fldCharType="end"/>
      </w:r>
      <w:r>
        <w:rPr>
          <w:rFonts w:eastAsia="仿宋"/>
          <w:sz w:val="32"/>
          <w:szCs w:val="32"/>
        </w:rPr>
        <w:t>3</w:t>
      </w:r>
    </w:p>
    <w:p>
      <w:pPr>
        <w:pStyle w:val="16"/>
        <w:tabs>
          <w:tab w:val="right" w:leader="dot" w:pos="8306"/>
        </w:tabs>
        <w:spacing w:line="578" w:lineRule="exact"/>
        <w:ind w:leftChars="0"/>
        <w:rPr>
          <w:rFonts w:eastAsia="仿宋"/>
          <w:sz w:val="32"/>
          <w:szCs w:val="32"/>
        </w:rPr>
      </w:pPr>
      <w:r>
        <w:fldChar w:fldCharType="begin"/>
      </w:r>
      <w:r>
        <w:instrText xml:space="preserve"> HYPERLINK \l "_Toc19535_WPSOffice_Level2" </w:instrText>
      </w:r>
      <w:r>
        <w:fldChar w:fldCharType="separate"/>
      </w:r>
      <w:r>
        <w:rPr>
          <w:rFonts w:eastAsia="仿宋"/>
          <w:bCs/>
          <w:sz w:val="32"/>
          <w:szCs w:val="32"/>
        </w:rPr>
        <w:t>四、财政拨款收入支出决算总体情况说明</w:t>
      </w:r>
      <w:r>
        <w:rPr>
          <w:rFonts w:eastAsia="仿宋"/>
          <w:sz w:val="32"/>
          <w:szCs w:val="32"/>
        </w:rPr>
        <w:tab/>
      </w:r>
      <w:r>
        <w:rPr>
          <w:rFonts w:eastAsia="仿宋"/>
          <w:sz w:val="32"/>
          <w:szCs w:val="32"/>
        </w:rPr>
        <w:fldChar w:fldCharType="end"/>
      </w:r>
      <w:r>
        <w:rPr>
          <w:rFonts w:eastAsia="仿宋"/>
          <w:sz w:val="32"/>
          <w:szCs w:val="32"/>
        </w:rPr>
        <w:t>3</w:t>
      </w:r>
    </w:p>
    <w:p>
      <w:pPr>
        <w:pStyle w:val="16"/>
        <w:tabs>
          <w:tab w:val="right" w:leader="dot" w:pos="8306"/>
        </w:tabs>
        <w:spacing w:line="578" w:lineRule="exact"/>
        <w:ind w:leftChars="0"/>
        <w:rPr>
          <w:rFonts w:eastAsia="仿宋"/>
          <w:sz w:val="32"/>
          <w:szCs w:val="32"/>
        </w:rPr>
      </w:pPr>
      <w:r>
        <w:fldChar w:fldCharType="begin"/>
      </w:r>
      <w:r>
        <w:instrText xml:space="preserve"> HYPERLINK \l "_Toc19535_WPSOffice_Level2" </w:instrText>
      </w:r>
      <w:r>
        <w:fldChar w:fldCharType="separate"/>
      </w:r>
      <w:r>
        <w:rPr>
          <w:rFonts w:eastAsia="仿宋"/>
          <w:bCs/>
          <w:sz w:val="32"/>
          <w:szCs w:val="32"/>
        </w:rPr>
        <w:t>五、一般公共预算财政拨款支出决算情况说明</w:t>
      </w:r>
      <w:r>
        <w:rPr>
          <w:rFonts w:eastAsia="仿宋"/>
          <w:sz w:val="32"/>
          <w:szCs w:val="32"/>
        </w:rPr>
        <w:tab/>
      </w:r>
      <w:r>
        <w:rPr>
          <w:rFonts w:eastAsia="仿宋"/>
          <w:sz w:val="32"/>
          <w:szCs w:val="32"/>
        </w:rPr>
        <w:fldChar w:fldCharType="end"/>
      </w:r>
      <w:r>
        <w:rPr>
          <w:rFonts w:eastAsia="仿宋"/>
          <w:sz w:val="32"/>
          <w:szCs w:val="32"/>
        </w:rPr>
        <w:t>4</w:t>
      </w:r>
    </w:p>
    <w:p>
      <w:pPr>
        <w:pStyle w:val="16"/>
        <w:tabs>
          <w:tab w:val="right" w:leader="dot" w:pos="8306"/>
        </w:tabs>
        <w:spacing w:line="578" w:lineRule="exact"/>
        <w:ind w:leftChars="0"/>
        <w:rPr>
          <w:rFonts w:eastAsia="仿宋"/>
          <w:sz w:val="32"/>
          <w:szCs w:val="32"/>
        </w:rPr>
      </w:pPr>
      <w:r>
        <w:fldChar w:fldCharType="begin"/>
      </w:r>
      <w:r>
        <w:instrText xml:space="preserve"> HYPERLINK \l "_Toc19535_WPSOffice_Level2" </w:instrText>
      </w:r>
      <w:r>
        <w:fldChar w:fldCharType="separate"/>
      </w:r>
      <w:r>
        <w:rPr>
          <w:rFonts w:eastAsia="仿宋"/>
          <w:bCs/>
          <w:sz w:val="32"/>
          <w:szCs w:val="32"/>
        </w:rPr>
        <w:t>六、一般公共预算财政拨款基本支出决算情况说明</w:t>
      </w:r>
      <w:r>
        <w:rPr>
          <w:rFonts w:eastAsia="仿宋"/>
          <w:bCs/>
          <w:sz w:val="32"/>
          <w:szCs w:val="32"/>
        </w:rPr>
        <w:fldChar w:fldCharType="end"/>
      </w:r>
      <w:r>
        <w:rPr>
          <w:rFonts w:eastAsia="仿宋"/>
          <w:sz w:val="32"/>
          <w:szCs w:val="32"/>
        </w:rPr>
        <w:tab/>
      </w:r>
      <w:r>
        <w:rPr>
          <w:rFonts w:eastAsia="仿宋"/>
          <w:sz w:val="32"/>
          <w:szCs w:val="32"/>
        </w:rPr>
        <w:t>5</w:t>
      </w:r>
    </w:p>
    <w:p>
      <w:pPr>
        <w:pStyle w:val="16"/>
        <w:numPr>
          <w:ilvl w:val="0"/>
          <w:numId w:val="1"/>
        </w:numPr>
        <w:tabs>
          <w:tab w:val="right" w:leader="dot" w:pos="8306"/>
        </w:tabs>
        <w:spacing w:line="578" w:lineRule="exact"/>
        <w:ind w:leftChars="0"/>
        <w:rPr>
          <w:rFonts w:eastAsia="仿宋"/>
          <w:sz w:val="32"/>
          <w:szCs w:val="32"/>
        </w:rPr>
      </w:pPr>
      <w:r>
        <w:rPr>
          <w:rFonts w:eastAsia="仿宋"/>
          <w:bCs/>
          <w:sz w:val="32"/>
          <w:szCs w:val="32"/>
        </w:rPr>
        <w:t>政府性基金预算财政拨款支出决算情况说明</w:t>
      </w:r>
      <w:r>
        <w:rPr>
          <w:rFonts w:eastAsia="仿宋"/>
          <w:sz w:val="32"/>
          <w:szCs w:val="32"/>
        </w:rPr>
        <w:tab/>
      </w:r>
      <w:r>
        <w:rPr>
          <w:rFonts w:eastAsia="仿宋"/>
          <w:sz w:val="32"/>
          <w:szCs w:val="32"/>
        </w:rPr>
        <w:t>6</w:t>
      </w:r>
    </w:p>
    <w:p>
      <w:pPr>
        <w:pStyle w:val="16"/>
        <w:numPr>
          <w:ilvl w:val="0"/>
          <w:numId w:val="1"/>
        </w:numPr>
        <w:tabs>
          <w:tab w:val="right" w:leader="dot" w:pos="8306"/>
        </w:tabs>
        <w:spacing w:line="578" w:lineRule="exact"/>
        <w:ind w:leftChars="0"/>
        <w:rPr>
          <w:rFonts w:eastAsia="仿宋"/>
          <w:sz w:val="32"/>
          <w:szCs w:val="32"/>
        </w:rPr>
      </w:pPr>
      <w:r>
        <w:rPr>
          <w:rFonts w:eastAsia="仿宋"/>
          <w:bCs/>
          <w:sz w:val="32"/>
          <w:szCs w:val="32"/>
        </w:rPr>
        <w:t>国有资本经营预算财政拨款支出决算情况说明</w:t>
      </w:r>
      <w:r>
        <w:rPr>
          <w:rFonts w:eastAsia="仿宋"/>
          <w:sz w:val="32"/>
          <w:szCs w:val="32"/>
        </w:rPr>
        <w:tab/>
      </w:r>
      <w:r>
        <w:rPr>
          <w:rFonts w:eastAsia="仿宋"/>
          <w:sz w:val="32"/>
          <w:szCs w:val="32"/>
        </w:rPr>
        <w:t>6</w:t>
      </w:r>
    </w:p>
    <w:p>
      <w:pPr>
        <w:pStyle w:val="16"/>
        <w:tabs>
          <w:tab w:val="right" w:leader="dot" w:pos="8306"/>
        </w:tabs>
        <w:spacing w:line="578" w:lineRule="exact"/>
        <w:ind w:leftChars="0"/>
        <w:rPr>
          <w:rFonts w:eastAsia="仿宋"/>
          <w:sz w:val="32"/>
          <w:szCs w:val="32"/>
        </w:rPr>
      </w:pPr>
      <w:r>
        <w:fldChar w:fldCharType="begin"/>
      </w:r>
      <w:r>
        <w:instrText xml:space="preserve"> HYPERLINK \l "_Toc19535_WPSOffice_Level2" </w:instrText>
      </w:r>
      <w:r>
        <w:fldChar w:fldCharType="separate"/>
      </w:r>
      <w:r>
        <w:rPr>
          <w:rFonts w:eastAsia="仿宋"/>
          <w:bCs/>
          <w:sz w:val="32"/>
          <w:szCs w:val="32"/>
        </w:rPr>
        <w:t>九、财政拨款“三公”经费支出决算情况说明</w:t>
      </w:r>
      <w:r>
        <w:rPr>
          <w:rFonts w:eastAsia="仿宋"/>
          <w:sz w:val="32"/>
          <w:szCs w:val="32"/>
        </w:rPr>
        <w:tab/>
      </w:r>
      <w:r>
        <w:rPr>
          <w:rFonts w:eastAsia="仿宋"/>
          <w:sz w:val="32"/>
          <w:szCs w:val="32"/>
        </w:rPr>
        <w:fldChar w:fldCharType="end"/>
      </w:r>
      <w:r>
        <w:rPr>
          <w:rFonts w:eastAsia="仿宋"/>
          <w:sz w:val="32"/>
          <w:szCs w:val="32"/>
        </w:rPr>
        <w:t>6</w:t>
      </w:r>
    </w:p>
    <w:p>
      <w:pPr>
        <w:pStyle w:val="16"/>
        <w:tabs>
          <w:tab w:val="right" w:leader="dot" w:pos="8306"/>
        </w:tabs>
        <w:spacing w:line="578" w:lineRule="exact"/>
        <w:ind w:leftChars="0"/>
        <w:rPr>
          <w:rFonts w:eastAsia="仿宋"/>
          <w:sz w:val="32"/>
          <w:szCs w:val="32"/>
        </w:rPr>
      </w:pPr>
      <w:r>
        <w:fldChar w:fldCharType="begin"/>
      </w:r>
      <w:r>
        <w:instrText xml:space="preserve"> HYPERLINK \l "_Toc19535_WPSOffice_Level2" </w:instrText>
      </w:r>
      <w:r>
        <w:fldChar w:fldCharType="separate"/>
      </w:r>
      <w:r>
        <w:rPr>
          <w:rFonts w:eastAsia="仿宋"/>
          <w:bCs/>
          <w:sz w:val="32"/>
          <w:szCs w:val="32"/>
        </w:rPr>
        <w:t>十、其他重要事项情况说明</w:t>
      </w:r>
      <w:r>
        <w:rPr>
          <w:rFonts w:eastAsia="仿宋"/>
          <w:sz w:val="32"/>
          <w:szCs w:val="32"/>
        </w:rPr>
        <w:tab/>
      </w:r>
      <w:r>
        <w:rPr>
          <w:rFonts w:eastAsia="仿宋"/>
          <w:sz w:val="32"/>
          <w:szCs w:val="32"/>
        </w:rPr>
        <w:fldChar w:fldCharType="end"/>
      </w:r>
      <w:r>
        <w:rPr>
          <w:rFonts w:eastAsia="仿宋"/>
          <w:sz w:val="32"/>
          <w:szCs w:val="32"/>
        </w:rPr>
        <w:t>8</w:t>
      </w:r>
    </w:p>
    <w:p>
      <w:pPr>
        <w:pStyle w:val="15"/>
        <w:tabs>
          <w:tab w:val="right" w:leader="dot" w:pos="8306"/>
        </w:tabs>
        <w:spacing w:line="578" w:lineRule="exact"/>
        <w:rPr>
          <w:b/>
          <w:sz w:val="32"/>
          <w:szCs w:val="32"/>
        </w:rPr>
      </w:pPr>
      <w:r>
        <w:fldChar w:fldCharType="begin"/>
      </w:r>
      <w:r>
        <w:instrText xml:space="preserve"> HYPERLINK \l "_Toc15425_WPSOffice_Level1" </w:instrText>
      </w:r>
      <w:r>
        <w:fldChar w:fldCharType="separate"/>
      </w:r>
      <w:r>
        <w:rPr>
          <w:rFonts w:eastAsia="黑体"/>
          <w:sz w:val="32"/>
          <w:szCs w:val="32"/>
        </w:rPr>
        <w:t>第四部分名词解释</w:t>
      </w:r>
      <w:r>
        <w:rPr>
          <w:sz w:val="32"/>
          <w:szCs w:val="32"/>
        </w:rPr>
        <w:tab/>
      </w:r>
      <w:r>
        <w:rPr>
          <w:sz w:val="32"/>
          <w:szCs w:val="32"/>
        </w:rPr>
        <w:t>8</w:t>
      </w:r>
      <w:r>
        <w:rPr>
          <w:sz w:val="32"/>
          <w:szCs w:val="32"/>
        </w:rPr>
        <w:fldChar w:fldCharType="end"/>
      </w:r>
      <w:bookmarkEnd w:id="0"/>
    </w:p>
    <w:p>
      <w:pPr>
        <w:spacing w:line="578" w:lineRule="exact"/>
        <w:rPr>
          <w:rFonts w:eastAsia="黑体"/>
          <w:sz w:val="32"/>
          <w:szCs w:val="32"/>
        </w:rPr>
      </w:pPr>
      <w:bookmarkStart w:id="1" w:name="_Toc1704_WPSOffice_Level1"/>
      <w:bookmarkStart w:id="2" w:name="_Toc23465_WPSOffice_Level1"/>
      <w:bookmarkStart w:id="3" w:name="_Toc10720_WPSOffice_Level1"/>
      <w:bookmarkStart w:id="4" w:name="_Toc32433_WPSOffice_Level1"/>
      <w:bookmarkStart w:id="5" w:name="_Toc10049_WPSOffice_Level1"/>
      <w:bookmarkStart w:id="6" w:name="_Toc22941_WPSOffice_Level1"/>
      <w:bookmarkStart w:id="7" w:name="_Toc24238_WPSOffice_Level2"/>
      <w:bookmarkStart w:id="8" w:name="_Toc26580_WPSOffice_Level2"/>
      <w:bookmarkStart w:id="9" w:name="_Toc20205_WPSOffice_Level2"/>
      <w:bookmarkStart w:id="10" w:name="_Toc14159_WPSOffice_Level2"/>
      <w:bookmarkStart w:id="11" w:name="_Toc32622_WPSOffice_Level2"/>
      <w:bookmarkStart w:id="12" w:name="_Toc20274_WPSOffice_Level2"/>
    </w:p>
    <w:p>
      <w:pPr>
        <w:spacing w:line="578" w:lineRule="exact"/>
        <w:jc w:val="center"/>
        <w:rPr>
          <w:rFonts w:eastAsia="黑体"/>
          <w:sz w:val="32"/>
          <w:szCs w:val="32"/>
        </w:rPr>
      </w:pPr>
      <w:r>
        <w:rPr>
          <w:rFonts w:eastAsia="黑体"/>
          <w:sz w:val="32"/>
          <w:szCs w:val="32"/>
        </w:rPr>
        <w:t>第一部分</w:t>
      </w:r>
      <w:bookmarkEnd w:id="1"/>
      <w:bookmarkEnd w:id="2"/>
      <w:bookmarkEnd w:id="3"/>
      <w:bookmarkEnd w:id="4"/>
      <w:bookmarkEnd w:id="5"/>
      <w:bookmarkEnd w:id="6"/>
      <w:r>
        <w:rPr>
          <w:rFonts w:eastAsia="黑体"/>
          <w:sz w:val="32"/>
          <w:szCs w:val="32"/>
        </w:rPr>
        <w:t>基本情况</w:t>
      </w:r>
    </w:p>
    <w:p>
      <w:pPr>
        <w:pStyle w:val="18"/>
        <w:numPr>
          <w:ilvl w:val="0"/>
          <w:numId w:val="2"/>
        </w:numPr>
        <w:spacing w:line="578" w:lineRule="exact"/>
        <w:ind w:firstLineChars="0"/>
        <w:rPr>
          <w:rFonts w:eastAsia="黑体"/>
          <w:sz w:val="32"/>
          <w:szCs w:val="32"/>
        </w:rPr>
      </w:pPr>
      <w:r>
        <w:rPr>
          <w:rFonts w:eastAsia="黑体"/>
          <w:sz w:val="32"/>
          <w:szCs w:val="32"/>
        </w:rPr>
        <w:t>部门</w:t>
      </w:r>
      <w:bookmarkEnd w:id="7"/>
      <w:r>
        <w:rPr>
          <w:rFonts w:eastAsia="黑体"/>
          <w:sz w:val="32"/>
          <w:szCs w:val="32"/>
        </w:rPr>
        <w:t>（单位）职责</w:t>
      </w:r>
      <w:bookmarkEnd w:id="8"/>
      <w:bookmarkEnd w:id="9"/>
      <w:bookmarkEnd w:id="10"/>
      <w:bookmarkEnd w:id="11"/>
      <w:bookmarkEnd w:id="12"/>
    </w:p>
    <w:p>
      <w:pPr>
        <w:pStyle w:val="18"/>
        <w:spacing w:line="578" w:lineRule="exact"/>
        <w:ind w:firstLine="640"/>
        <w:jc w:val="left"/>
        <w:rPr>
          <w:rFonts w:eastAsia="仿宋_GB2312"/>
          <w:sz w:val="32"/>
          <w:szCs w:val="32"/>
        </w:rPr>
      </w:pPr>
      <w:r>
        <w:rPr>
          <w:rFonts w:eastAsia="仿宋_GB2312"/>
          <w:sz w:val="32"/>
          <w:szCs w:val="32"/>
        </w:rPr>
        <w:t>比如县市场监督管理局是负责市场综合监管和行政执法的政府机构，主要职责包括市场准入和监管、维护市场秩序、保护消费者权益、食品、药品、化妆品、特种设备、产品质量监管等。</w:t>
      </w:r>
    </w:p>
    <w:p>
      <w:pPr>
        <w:spacing w:line="578" w:lineRule="exact"/>
        <w:ind w:firstLine="640" w:firstLineChars="200"/>
        <w:rPr>
          <w:rFonts w:eastAsia="黑体"/>
          <w:sz w:val="32"/>
          <w:szCs w:val="32"/>
        </w:rPr>
      </w:pPr>
      <w:bookmarkStart w:id="13" w:name="_Toc24474_WPSOffice_Level2"/>
      <w:bookmarkStart w:id="14" w:name="_Toc6572_WPSOffice_Level2"/>
      <w:bookmarkStart w:id="15" w:name="_Toc4833_WPSOffice_Level2"/>
      <w:bookmarkStart w:id="16" w:name="_Toc17796_WPSOffice_Level2"/>
      <w:bookmarkStart w:id="17" w:name="_Toc24059_WPSOffice_Level2"/>
      <w:r>
        <w:rPr>
          <w:rFonts w:eastAsia="黑体"/>
          <w:sz w:val="32"/>
          <w:szCs w:val="32"/>
        </w:rPr>
        <w:t>二、机构设置</w:t>
      </w:r>
      <w:bookmarkEnd w:id="13"/>
      <w:bookmarkEnd w:id="14"/>
      <w:bookmarkEnd w:id="15"/>
      <w:bookmarkEnd w:id="16"/>
      <w:bookmarkEnd w:id="17"/>
    </w:p>
    <w:p>
      <w:pPr>
        <w:spacing w:line="578" w:lineRule="exact"/>
        <w:ind w:firstLine="640" w:firstLineChars="200"/>
        <w:rPr>
          <w:rFonts w:eastAsia="仿宋_GB2312"/>
          <w:sz w:val="32"/>
          <w:szCs w:val="32"/>
        </w:rPr>
      </w:pPr>
      <w:r>
        <w:rPr>
          <w:rFonts w:eastAsia="仿宋_GB2312"/>
          <w:sz w:val="32"/>
          <w:szCs w:val="32"/>
        </w:rPr>
        <w:t>比如县市场监督管理局为基层预算单位，内设机构为综合办公室1、综合办公室2、财务室。2025年单位编制为5人，年末实有人数为7人。</w:t>
      </w:r>
    </w:p>
    <w:p>
      <w:pPr>
        <w:spacing w:line="578" w:lineRule="exact"/>
        <w:ind w:firstLine="640" w:firstLineChars="200"/>
        <w:rPr>
          <w:rFonts w:eastAsia="仿宋_GB2312"/>
          <w:sz w:val="32"/>
          <w:szCs w:val="32"/>
        </w:rPr>
      </w:pPr>
    </w:p>
    <w:p>
      <w:pPr>
        <w:spacing w:line="578" w:lineRule="exact"/>
        <w:ind w:firstLine="640" w:firstLineChars="200"/>
        <w:rPr>
          <w:rFonts w:eastAsia="仿宋_GB2312"/>
          <w:sz w:val="32"/>
          <w:szCs w:val="32"/>
        </w:rPr>
      </w:pPr>
    </w:p>
    <w:p>
      <w:pPr>
        <w:spacing w:line="578" w:lineRule="exact"/>
        <w:ind w:firstLine="640" w:firstLineChars="200"/>
        <w:rPr>
          <w:rFonts w:eastAsia="仿宋_GB2312"/>
          <w:sz w:val="32"/>
          <w:szCs w:val="32"/>
        </w:rPr>
      </w:pPr>
    </w:p>
    <w:p>
      <w:pPr>
        <w:spacing w:line="578" w:lineRule="exact"/>
        <w:ind w:firstLine="640" w:firstLineChars="200"/>
        <w:rPr>
          <w:rFonts w:eastAsia="仿宋_GB2312"/>
          <w:sz w:val="32"/>
          <w:szCs w:val="32"/>
        </w:rPr>
      </w:pPr>
    </w:p>
    <w:p>
      <w:pPr>
        <w:spacing w:line="578" w:lineRule="exact"/>
        <w:ind w:firstLine="640" w:firstLineChars="200"/>
        <w:rPr>
          <w:rFonts w:eastAsia="仿宋_GB2312"/>
          <w:sz w:val="32"/>
          <w:szCs w:val="32"/>
        </w:rPr>
      </w:pPr>
    </w:p>
    <w:p>
      <w:pPr>
        <w:spacing w:line="578" w:lineRule="exact"/>
        <w:ind w:firstLine="640" w:firstLineChars="200"/>
        <w:rPr>
          <w:rFonts w:eastAsia="仿宋_GB2312"/>
          <w:sz w:val="32"/>
          <w:szCs w:val="32"/>
        </w:rPr>
      </w:pPr>
    </w:p>
    <w:p>
      <w:pPr>
        <w:spacing w:line="578" w:lineRule="exact"/>
        <w:ind w:firstLine="640" w:firstLineChars="200"/>
        <w:rPr>
          <w:rFonts w:eastAsia="仿宋_GB2312"/>
          <w:sz w:val="32"/>
          <w:szCs w:val="32"/>
        </w:rPr>
      </w:pPr>
    </w:p>
    <w:p>
      <w:pPr>
        <w:spacing w:line="578" w:lineRule="exact"/>
        <w:ind w:firstLine="640" w:firstLineChars="200"/>
        <w:rPr>
          <w:rFonts w:eastAsia="仿宋_GB2312"/>
          <w:sz w:val="32"/>
          <w:szCs w:val="32"/>
        </w:rPr>
      </w:pPr>
    </w:p>
    <w:p>
      <w:pPr>
        <w:spacing w:line="578" w:lineRule="exact"/>
        <w:ind w:firstLine="640" w:firstLineChars="200"/>
        <w:rPr>
          <w:rFonts w:eastAsia="仿宋_GB2312"/>
          <w:sz w:val="32"/>
          <w:szCs w:val="32"/>
        </w:rPr>
      </w:pPr>
    </w:p>
    <w:p>
      <w:pPr>
        <w:spacing w:line="578" w:lineRule="exact"/>
        <w:ind w:firstLine="640" w:firstLineChars="200"/>
        <w:rPr>
          <w:rFonts w:eastAsia="仿宋_GB2312"/>
          <w:sz w:val="32"/>
          <w:szCs w:val="32"/>
        </w:rPr>
      </w:pPr>
    </w:p>
    <w:p>
      <w:pPr>
        <w:spacing w:line="578" w:lineRule="exact"/>
        <w:ind w:firstLine="640" w:firstLineChars="200"/>
        <w:rPr>
          <w:rFonts w:eastAsia="仿宋_GB2312"/>
          <w:sz w:val="32"/>
          <w:szCs w:val="32"/>
        </w:rPr>
      </w:pPr>
    </w:p>
    <w:p>
      <w:pPr>
        <w:spacing w:line="578" w:lineRule="exact"/>
        <w:ind w:firstLine="640" w:firstLineChars="200"/>
        <w:rPr>
          <w:rFonts w:eastAsia="仿宋_GB2312"/>
          <w:sz w:val="32"/>
          <w:szCs w:val="32"/>
        </w:rPr>
      </w:pPr>
    </w:p>
    <w:p>
      <w:pPr>
        <w:spacing w:line="578" w:lineRule="exact"/>
        <w:ind w:firstLine="640" w:firstLineChars="200"/>
        <w:rPr>
          <w:rFonts w:eastAsia="仿宋_GB2312"/>
          <w:sz w:val="32"/>
          <w:szCs w:val="32"/>
        </w:rPr>
      </w:pPr>
    </w:p>
    <w:p>
      <w:pPr>
        <w:spacing w:line="578" w:lineRule="exact"/>
        <w:jc w:val="center"/>
        <w:rPr>
          <w:rFonts w:eastAsia="黑体"/>
          <w:sz w:val="32"/>
          <w:szCs w:val="32"/>
        </w:rPr>
      </w:pPr>
      <w:bookmarkStart w:id="18" w:name="_Toc8164_WPSOffice_Level1"/>
      <w:bookmarkStart w:id="19" w:name="_Toc30690_WPSOffice_Level1"/>
      <w:bookmarkStart w:id="20" w:name="_Toc15521_WPSOffice_Level1"/>
      <w:bookmarkStart w:id="21" w:name="_Toc6234_WPSOffice_Level1"/>
      <w:bookmarkStart w:id="22" w:name="_Toc30451_WPSOffice_Level1"/>
      <w:bookmarkStart w:id="23" w:name="_Toc28253_WPSOffice_Level1"/>
      <w:bookmarkStart w:id="24" w:name="_Toc8867_WPSOffice_Level2"/>
      <w:bookmarkStart w:id="25" w:name="_Toc4029_WPSOffice_Level2"/>
      <w:bookmarkStart w:id="26" w:name="_Toc32695_WPSOffice_Level2"/>
      <w:bookmarkStart w:id="27" w:name="_Toc11518_WPSOffice_Level2"/>
      <w:bookmarkStart w:id="28" w:name="_Toc6211_WPSOffice_Level2"/>
      <w:bookmarkStart w:id="29" w:name="_Toc32472_WPSOffice_Level2"/>
    </w:p>
    <w:p>
      <w:pPr>
        <w:spacing w:line="578" w:lineRule="exact"/>
        <w:jc w:val="center"/>
        <w:rPr>
          <w:rFonts w:eastAsia="黑体"/>
          <w:sz w:val="32"/>
          <w:szCs w:val="32"/>
        </w:rPr>
      </w:pPr>
      <w:r>
        <w:rPr>
          <w:rFonts w:eastAsia="黑体"/>
          <w:sz w:val="32"/>
          <w:szCs w:val="32"/>
        </w:rPr>
        <w:t>第二部分2025年度部门决算公开报表</w:t>
      </w:r>
      <w:bookmarkEnd w:id="18"/>
      <w:bookmarkEnd w:id="19"/>
      <w:bookmarkEnd w:id="20"/>
      <w:bookmarkEnd w:id="21"/>
      <w:bookmarkEnd w:id="22"/>
      <w:bookmarkEnd w:id="23"/>
    </w:p>
    <w:p>
      <w:pPr>
        <w:spacing w:line="578" w:lineRule="exact"/>
        <w:ind w:firstLine="645"/>
        <w:rPr>
          <w:rFonts w:eastAsia="黑体"/>
          <w:sz w:val="32"/>
          <w:szCs w:val="32"/>
        </w:rPr>
      </w:pPr>
      <w:r>
        <w:rPr>
          <w:rFonts w:eastAsia="黑体"/>
          <w:sz w:val="32"/>
          <w:szCs w:val="32"/>
        </w:rPr>
        <w:t>一、收入支出决算公开表</w:t>
      </w:r>
      <w:bookmarkEnd w:id="24"/>
      <w:bookmarkEnd w:id="25"/>
      <w:bookmarkEnd w:id="26"/>
      <w:bookmarkEnd w:id="27"/>
      <w:bookmarkEnd w:id="28"/>
      <w:bookmarkEnd w:id="29"/>
    </w:p>
    <w:p>
      <w:pPr>
        <w:spacing w:line="578" w:lineRule="exact"/>
        <w:ind w:firstLine="645"/>
        <w:rPr>
          <w:rFonts w:eastAsia="黑体"/>
          <w:sz w:val="32"/>
          <w:szCs w:val="32"/>
        </w:rPr>
      </w:pPr>
      <w:bookmarkStart w:id="30" w:name="_Toc14349_WPSOffice_Level2"/>
      <w:bookmarkStart w:id="31" w:name="_Toc25608_WPSOffice_Level2"/>
      <w:bookmarkStart w:id="32" w:name="_Toc28622_WPSOffice_Level2"/>
      <w:bookmarkStart w:id="33" w:name="_Toc30334_WPSOffice_Level2"/>
      <w:bookmarkStart w:id="34" w:name="_Toc23139_WPSOffice_Level2"/>
      <w:bookmarkStart w:id="35" w:name="_Toc26621_WPSOffice_Level2"/>
      <w:r>
        <w:rPr>
          <w:rFonts w:eastAsia="黑体"/>
          <w:sz w:val="32"/>
          <w:szCs w:val="32"/>
        </w:rPr>
        <w:t>二、收入决算公开表</w:t>
      </w:r>
      <w:bookmarkEnd w:id="30"/>
      <w:bookmarkEnd w:id="31"/>
      <w:bookmarkEnd w:id="32"/>
      <w:bookmarkEnd w:id="33"/>
      <w:bookmarkEnd w:id="34"/>
      <w:bookmarkEnd w:id="35"/>
      <w:bookmarkStart w:id="36" w:name="_Toc3262_WPSOffice_Level2"/>
      <w:bookmarkStart w:id="37" w:name="_Toc13854_WPSOffice_Level2"/>
      <w:bookmarkStart w:id="38" w:name="_Toc17626_WPSOffice_Level2"/>
      <w:bookmarkStart w:id="39" w:name="_Toc17858_WPSOffice_Level2"/>
      <w:bookmarkStart w:id="40" w:name="_Toc14658_WPSOffice_Level2"/>
      <w:bookmarkStart w:id="41" w:name="_Toc5489_WPSOffice_Level2"/>
    </w:p>
    <w:p>
      <w:pPr>
        <w:spacing w:line="578" w:lineRule="exact"/>
        <w:ind w:firstLine="645"/>
        <w:rPr>
          <w:rFonts w:eastAsia="黑体"/>
          <w:sz w:val="32"/>
          <w:szCs w:val="32"/>
        </w:rPr>
      </w:pPr>
      <w:r>
        <w:rPr>
          <w:rFonts w:eastAsia="黑体"/>
          <w:sz w:val="32"/>
          <w:szCs w:val="32"/>
        </w:rPr>
        <w:t>三、支出决算公开表</w:t>
      </w:r>
      <w:bookmarkEnd w:id="36"/>
      <w:bookmarkEnd w:id="37"/>
      <w:bookmarkEnd w:id="38"/>
      <w:bookmarkEnd w:id="39"/>
      <w:bookmarkEnd w:id="40"/>
      <w:bookmarkEnd w:id="41"/>
      <w:bookmarkStart w:id="42" w:name="_Toc23591_WPSOffice_Level2"/>
      <w:bookmarkStart w:id="43" w:name="_Toc4265_WPSOffice_Level2"/>
      <w:bookmarkStart w:id="44" w:name="_Toc23493_WPSOffice_Level2"/>
      <w:bookmarkStart w:id="45" w:name="_Toc21415_WPSOffice_Level2"/>
      <w:bookmarkStart w:id="46" w:name="_Toc7988_WPSOffice_Level2"/>
      <w:bookmarkStart w:id="47" w:name="_Toc13701_WPSOffice_Level2"/>
    </w:p>
    <w:p>
      <w:pPr>
        <w:spacing w:line="578" w:lineRule="exact"/>
        <w:ind w:firstLine="645"/>
        <w:rPr>
          <w:rFonts w:eastAsia="黑体"/>
          <w:sz w:val="32"/>
          <w:szCs w:val="32"/>
        </w:rPr>
      </w:pPr>
      <w:r>
        <w:rPr>
          <w:rFonts w:eastAsia="黑体"/>
          <w:sz w:val="32"/>
          <w:szCs w:val="32"/>
        </w:rPr>
        <w:t>四、财政拨款收入支出决算公开表</w:t>
      </w:r>
      <w:bookmarkEnd w:id="42"/>
      <w:bookmarkEnd w:id="43"/>
      <w:bookmarkEnd w:id="44"/>
      <w:bookmarkEnd w:id="45"/>
      <w:bookmarkEnd w:id="46"/>
      <w:bookmarkEnd w:id="47"/>
    </w:p>
    <w:p>
      <w:pPr>
        <w:spacing w:line="578" w:lineRule="exact"/>
        <w:ind w:firstLine="645"/>
        <w:rPr>
          <w:rFonts w:eastAsia="黑体"/>
          <w:sz w:val="32"/>
          <w:szCs w:val="32"/>
        </w:rPr>
      </w:pPr>
      <w:bookmarkStart w:id="48" w:name="_Toc22783_WPSOffice_Level2"/>
      <w:bookmarkStart w:id="49" w:name="_Toc7879_WPSOffice_Level2"/>
      <w:bookmarkStart w:id="50" w:name="_Toc25166_WPSOffice_Level2"/>
      <w:bookmarkStart w:id="51" w:name="_Toc23829_WPSOffice_Level2"/>
      <w:bookmarkStart w:id="52" w:name="_Toc2158_WPSOffice_Level2"/>
      <w:bookmarkStart w:id="53" w:name="_Toc13516_WPSOffice_Level2"/>
      <w:r>
        <w:rPr>
          <w:rFonts w:eastAsia="黑体"/>
          <w:sz w:val="32"/>
          <w:szCs w:val="32"/>
        </w:rPr>
        <w:t>五、一般公共预算财政拨款收入支出决算</w:t>
      </w:r>
      <w:bookmarkEnd w:id="48"/>
      <w:bookmarkEnd w:id="49"/>
      <w:bookmarkEnd w:id="50"/>
      <w:bookmarkEnd w:id="51"/>
      <w:r>
        <w:rPr>
          <w:rFonts w:eastAsia="黑体"/>
          <w:sz w:val="32"/>
          <w:szCs w:val="32"/>
        </w:rPr>
        <w:t>公开表</w:t>
      </w:r>
      <w:bookmarkEnd w:id="52"/>
      <w:bookmarkEnd w:id="53"/>
      <w:bookmarkStart w:id="54" w:name="_Toc17833_WPSOffice_Level2"/>
      <w:bookmarkStart w:id="55" w:name="_Toc2632_WPSOffice_Level2"/>
      <w:bookmarkStart w:id="56" w:name="_Toc8373_WPSOffice_Level2"/>
      <w:bookmarkStart w:id="57" w:name="_Toc5343_WPSOffice_Level2"/>
      <w:bookmarkStart w:id="58" w:name="_Toc25362_WPSOffice_Level2"/>
      <w:bookmarkStart w:id="59" w:name="_Toc17283_WPSOffice_Level2"/>
    </w:p>
    <w:p>
      <w:pPr>
        <w:spacing w:line="578" w:lineRule="exact"/>
        <w:ind w:firstLine="645"/>
        <w:rPr>
          <w:rFonts w:eastAsia="黑体"/>
          <w:sz w:val="32"/>
          <w:szCs w:val="32"/>
        </w:rPr>
      </w:pPr>
      <w:r>
        <w:rPr>
          <w:rFonts w:eastAsia="黑体"/>
          <w:sz w:val="32"/>
          <w:szCs w:val="32"/>
        </w:rPr>
        <w:t>六、一般公共预算财政拨款基本支出决算</w:t>
      </w:r>
      <w:bookmarkEnd w:id="54"/>
      <w:bookmarkEnd w:id="55"/>
      <w:bookmarkEnd w:id="56"/>
      <w:bookmarkEnd w:id="57"/>
      <w:bookmarkEnd w:id="58"/>
      <w:bookmarkEnd w:id="59"/>
      <w:r>
        <w:rPr>
          <w:rFonts w:eastAsia="黑体"/>
          <w:sz w:val="32"/>
          <w:szCs w:val="32"/>
        </w:rPr>
        <w:t>公开表</w:t>
      </w:r>
    </w:p>
    <w:p>
      <w:pPr>
        <w:spacing w:line="578" w:lineRule="exact"/>
        <w:ind w:left="1118" w:leftChars="304" w:hanging="480" w:hangingChars="150"/>
        <w:rPr>
          <w:rFonts w:eastAsia="黑体"/>
          <w:sz w:val="32"/>
          <w:szCs w:val="32"/>
        </w:rPr>
      </w:pPr>
      <w:bookmarkStart w:id="60" w:name="_Toc1533_WPSOffice_Level2"/>
      <w:bookmarkStart w:id="61" w:name="_Toc11799_WPSOffice_Level2"/>
      <w:bookmarkStart w:id="62" w:name="_Toc6020_WPSOffice_Level2"/>
      <w:bookmarkStart w:id="63" w:name="_Toc13345_WPSOffice_Level2"/>
      <w:bookmarkStart w:id="64" w:name="_Toc21310_WPSOffice_Level2"/>
      <w:bookmarkStart w:id="65" w:name="_Toc5594_WPSOffice_Level2"/>
      <w:r>
        <w:rPr>
          <w:rFonts w:eastAsia="黑体"/>
          <w:sz w:val="32"/>
          <w:szCs w:val="32"/>
        </w:rPr>
        <w:t>七、政府性基金预算财政拨款收入支出决算</w:t>
      </w:r>
      <w:bookmarkEnd w:id="60"/>
      <w:bookmarkEnd w:id="61"/>
      <w:bookmarkEnd w:id="62"/>
      <w:bookmarkEnd w:id="63"/>
      <w:bookmarkEnd w:id="64"/>
      <w:bookmarkEnd w:id="65"/>
      <w:r>
        <w:rPr>
          <w:rFonts w:eastAsia="黑体"/>
          <w:sz w:val="32"/>
          <w:szCs w:val="32"/>
        </w:rPr>
        <w:t>公开表</w:t>
      </w:r>
    </w:p>
    <w:p>
      <w:pPr>
        <w:spacing w:line="578" w:lineRule="exact"/>
        <w:ind w:left="1118" w:leftChars="304" w:hanging="480" w:hangingChars="150"/>
        <w:rPr>
          <w:rFonts w:eastAsia="黑体"/>
          <w:sz w:val="32"/>
          <w:szCs w:val="32"/>
        </w:rPr>
      </w:pPr>
      <w:r>
        <w:rPr>
          <w:rFonts w:eastAsia="黑体"/>
          <w:sz w:val="32"/>
          <w:szCs w:val="32"/>
        </w:rPr>
        <w:t>八、国有资本经营预算财政拨款收入支出决算公开表</w:t>
      </w:r>
    </w:p>
    <w:p>
      <w:pPr>
        <w:spacing w:line="578" w:lineRule="exact"/>
        <w:ind w:firstLine="640"/>
        <w:rPr>
          <w:rFonts w:eastAsia="黑体"/>
          <w:sz w:val="32"/>
          <w:szCs w:val="32"/>
        </w:rPr>
      </w:pPr>
      <w:bookmarkStart w:id="66" w:name="_Toc29886_WPSOffice_Level2"/>
      <w:bookmarkStart w:id="67" w:name="_Toc9377_WPSOffice_Level2"/>
      <w:bookmarkStart w:id="68" w:name="_Toc1820_WPSOffice_Level2"/>
      <w:bookmarkStart w:id="69" w:name="_Toc19961_WPSOffice_Level2"/>
      <w:r>
        <w:rPr>
          <w:rFonts w:eastAsia="黑体"/>
          <w:sz w:val="32"/>
          <w:szCs w:val="32"/>
        </w:rPr>
        <w:t>九、财政拨款“三公”经费支出决算</w:t>
      </w:r>
      <w:bookmarkEnd w:id="66"/>
      <w:bookmarkEnd w:id="67"/>
      <w:bookmarkEnd w:id="68"/>
      <w:bookmarkEnd w:id="69"/>
      <w:r>
        <w:rPr>
          <w:rFonts w:eastAsia="黑体"/>
          <w:sz w:val="32"/>
          <w:szCs w:val="32"/>
        </w:rPr>
        <w:t>公开表</w:t>
      </w:r>
    </w:p>
    <w:p>
      <w:pPr>
        <w:spacing w:line="578" w:lineRule="exact"/>
        <w:ind w:firstLine="640"/>
        <w:rPr>
          <w:rFonts w:eastAsia="仿宋"/>
          <w:sz w:val="32"/>
          <w:szCs w:val="32"/>
        </w:rPr>
      </w:pPr>
      <w:r>
        <w:rPr>
          <w:rFonts w:eastAsia="仿宋"/>
          <w:sz w:val="32"/>
          <w:szCs w:val="32"/>
        </w:rPr>
        <w:t>以上报表见附件</w:t>
      </w:r>
      <w:bookmarkStart w:id="118" w:name="_GoBack"/>
      <w:bookmarkEnd w:id="118"/>
      <w:r>
        <w:rPr>
          <w:rFonts w:eastAsia="仿宋"/>
          <w:sz w:val="32"/>
          <w:szCs w:val="32"/>
        </w:rPr>
        <w:t>1。</w:t>
      </w:r>
    </w:p>
    <w:p>
      <w:pPr>
        <w:spacing w:line="578" w:lineRule="exact"/>
        <w:rPr>
          <w:rFonts w:eastAsia="黑体"/>
          <w:sz w:val="32"/>
          <w:szCs w:val="32"/>
        </w:rPr>
      </w:pPr>
    </w:p>
    <w:p>
      <w:pPr>
        <w:spacing w:line="578" w:lineRule="exact"/>
        <w:rPr>
          <w:rFonts w:eastAsia="黑体"/>
          <w:sz w:val="32"/>
          <w:szCs w:val="32"/>
        </w:rPr>
      </w:pPr>
    </w:p>
    <w:p>
      <w:pPr>
        <w:spacing w:line="578" w:lineRule="exact"/>
        <w:rPr>
          <w:rFonts w:eastAsia="黑体"/>
          <w:sz w:val="32"/>
          <w:szCs w:val="32"/>
        </w:rPr>
      </w:pPr>
    </w:p>
    <w:p>
      <w:pPr>
        <w:spacing w:line="578" w:lineRule="exact"/>
        <w:rPr>
          <w:rFonts w:eastAsia="黑体"/>
          <w:sz w:val="32"/>
          <w:szCs w:val="32"/>
        </w:rPr>
      </w:pPr>
    </w:p>
    <w:p>
      <w:pPr>
        <w:spacing w:line="578" w:lineRule="exact"/>
        <w:rPr>
          <w:rFonts w:eastAsia="黑体"/>
          <w:sz w:val="32"/>
          <w:szCs w:val="32"/>
        </w:rPr>
      </w:pPr>
    </w:p>
    <w:p>
      <w:pPr>
        <w:spacing w:line="578" w:lineRule="exact"/>
        <w:rPr>
          <w:rFonts w:eastAsia="黑体"/>
          <w:sz w:val="32"/>
          <w:szCs w:val="32"/>
        </w:rPr>
      </w:pPr>
    </w:p>
    <w:p>
      <w:pPr>
        <w:spacing w:line="578" w:lineRule="exact"/>
        <w:rPr>
          <w:rFonts w:eastAsia="黑体"/>
          <w:sz w:val="32"/>
          <w:szCs w:val="32"/>
        </w:rPr>
      </w:pPr>
    </w:p>
    <w:p>
      <w:pPr>
        <w:spacing w:line="578" w:lineRule="exact"/>
        <w:rPr>
          <w:rFonts w:eastAsia="黑体"/>
          <w:sz w:val="32"/>
          <w:szCs w:val="32"/>
        </w:rPr>
      </w:pPr>
    </w:p>
    <w:p>
      <w:pPr>
        <w:spacing w:line="578" w:lineRule="exact"/>
        <w:rPr>
          <w:rFonts w:eastAsia="黑体"/>
          <w:sz w:val="32"/>
          <w:szCs w:val="32"/>
        </w:rPr>
      </w:pPr>
    </w:p>
    <w:p>
      <w:pPr>
        <w:spacing w:line="578" w:lineRule="exact"/>
        <w:rPr>
          <w:rFonts w:eastAsia="黑体"/>
          <w:sz w:val="32"/>
          <w:szCs w:val="32"/>
        </w:rPr>
      </w:pPr>
    </w:p>
    <w:p>
      <w:pPr>
        <w:spacing w:line="578" w:lineRule="exact"/>
        <w:rPr>
          <w:rFonts w:eastAsia="黑体"/>
          <w:sz w:val="32"/>
          <w:szCs w:val="32"/>
        </w:rPr>
      </w:pPr>
    </w:p>
    <w:p>
      <w:pPr>
        <w:spacing w:line="578" w:lineRule="exact"/>
        <w:jc w:val="center"/>
        <w:rPr>
          <w:rFonts w:eastAsia="黑体"/>
          <w:sz w:val="32"/>
          <w:szCs w:val="32"/>
        </w:rPr>
      </w:pPr>
      <w:bookmarkStart w:id="70" w:name="_Toc28629_WPSOffice_Level1"/>
      <w:bookmarkStart w:id="71" w:name="_Toc31264_WPSOffice_Level1"/>
      <w:bookmarkStart w:id="72" w:name="_Toc4402_WPSOffice_Level1"/>
      <w:bookmarkStart w:id="73" w:name="_Toc27590_WPSOffice_Level1"/>
      <w:bookmarkStart w:id="74" w:name="_Toc29683_WPSOffice_Level1"/>
      <w:bookmarkStart w:id="75" w:name="_Toc16686_WPSOffice_Level1"/>
      <w:r>
        <w:rPr>
          <w:rFonts w:eastAsia="黑体"/>
          <w:sz w:val="32"/>
          <w:szCs w:val="32"/>
        </w:rPr>
        <w:t>第三部分  2025年度部门决算情况说明</w:t>
      </w:r>
      <w:bookmarkEnd w:id="70"/>
      <w:bookmarkEnd w:id="71"/>
      <w:bookmarkEnd w:id="72"/>
      <w:bookmarkEnd w:id="73"/>
      <w:bookmarkEnd w:id="74"/>
      <w:bookmarkEnd w:id="75"/>
    </w:p>
    <w:p>
      <w:pPr>
        <w:spacing w:line="578" w:lineRule="exact"/>
        <w:jc w:val="center"/>
        <w:rPr>
          <w:rFonts w:eastAsia="黑体"/>
          <w:sz w:val="32"/>
          <w:szCs w:val="32"/>
        </w:rPr>
      </w:pPr>
    </w:p>
    <w:p>
      <w:pPr>
        <w:spacing w:line="578" w:lineRule="exact"/>
        <w:ind w:firstLine="640" w:firstLineChars="200"/>
        <w:rPr>
          <w:rFonts w:eastAsia="仿宋_GB2312"/>
          <w:sz w:val="32"/>
          <w:szCs w:val="32"/>
        </w:rPr>
      </w:pPr>
      <w:r>
        <w:rPr>
          <w:rFonts w:eastAsia="黑体"/>
          <w:bCs/>
          <w:sz w:val="32"/>
          <w:szCs w:val="32"/>
        </w:rPr>
        <w:t>一、收入支出总体情况说明</w:t>
      </w:r>
      <w:r>
        <w:rPr>
          <w:rFonts w:eastAsia="黑体"/>
          <w:bCs/>
          <w:sz w:val="32"/>
          <w:szCs w:val="32"/>
        </w:rPr>
        <w:br w:type="textWrapping"/>
      </w:r>
      <w:r>
        <w:rPr>
          <w:rFonts w:eastAsia="仿宋_GB2312"/>
          <w:sz w:val="32"/>
          <w:szCs w:val="32"/>
        </w:rPr>
        <w:t>2025年度收入总计</w:t>
      </w:r>
      <w:r>
        <w:rPr>
          <w:rFonts w:eastAsia="仿宋_GB2312"/>
          <w:color w:val="FF0000"/>
          <w:sz w:val="32"/>
          <w:szCs w:val="32"/>
        </w:rPr>
        <w:t>236.3</w:t>
      </w:r>
      <w:r>
        <w:rPr>
          <w:rFonts w:hint="eastAsia" w:eastAsia="仿宋_GB2312"/>
          <w:color w:val="FF0000"/>
          <w:sz w:val="32"/>
          <w:szCs w:val="32"/>
        </w:rPr>
        <w:t>3</w:t>
      </w:r>
      <w:r>
        <w:rPr>
          <w:rFonts w:eastAsia="仿宋_GB2312"/>
          <w:sz w:val="32"/>
          <w:szCs w:val="32"/>
        </w:rPr>
        <w:t>万元，支出总计</w:t>
      </w:r>
      <w:r>
        <w:rPr>
          <w:rFonts w:eastAsia="仿宋_GB2312"/>
          <w:color w:val="FF0000"/>
          <w:sz w:val="32"/>
          <w:szCs w:val="32"/>
        </w:rPr>
        <w:t>236.3</w:t>
      </w:r>
      <w:r>
        <w:rPr>
          <w:rFonts w:hint="eastAsia" w:eastAsia="仿宋_GB2312"/>
          <w:color w:val="FF0000"/>
          <w:sz w:val="32"/>
          <w:szCs w:val="32"/>
        </w:rPr>
        <w:t>3</w:t>
      </w:r>
      <w:r>
        <w:rPr>
          <w:rFonts w:eastAsia="仿宋_GB2312"/>
          <w:sz w:val="32"/>
          <w:szCs w:val="32"/>
        </w:rPr>
        <w:t>万元，与2024年度相比，收入、支出总计各增加7.73万元，增长3.38%。。</w:t>
      </w:r>
    </w:p>
    <w:p>
      <w:pPr>
        <w:spacing w:line="578" w:lineRule="exact"/>
        <w:ind w:firstLine="640" w:firstLineChars="200"/>
        <w:rPr>
          <w:rFonts w:eastAsia="楷体"/>
          <w:sz w:val="32"/>
          <w:szCs w:val="32"/>
        </w:rPr>
      </w:pPr>
      <w:r>
        <w:rPr>
          <w:rFonts w:eastAsia="楷体"/>
          <w:sz w:val="32"/>
          <w:szCs w:val="32"/>
        </w:rPr>
        <w:t>（一）收入总计主要构成</w:t>
      </w:r>
    </w:p>
    <w:p>
      <w:pPr>
        <w:spacing w:line="578" w:lineRule="exact"/>
        <w:ind w:firstLine="640" w:firstLineChars="200"/>
        <w:rPr>
          <w:rFonts w:eastAsia="仿宋_GB2312"/>
          <w:sz w:val="32"/>
          <w:szCs w:val="32"/>
        </w:rPr>
      </w:pPr>
      <w:r>
        <w:rPr>
          <w:rFonts w:eastAsia="仿宋_GB2312"/>
          <w:sz w:val="32"/>
          <w:szCs w:val="32"/>
        </w:rPr>
        <w:t>本年收入</w:t>
      </w:r>
      <w:r>
        <w:rPr>
          <w:rFonts w:eastAsia="仿宋_GB2312"/>
          <w:color w:val="FF0000"/>
          <w:sz w:val="32"/>
          <w:szCs w:val="32"/>
        </w:rPr>
        <w:t>236.3</w:t>
      </w:r>
      <w:r>
        <w:rPr>
          <w:rFonts w:hint="eastAsia" w:eastAsia="仿宋_GB2312"/>
          <w:color w:val="FF0000"/>
          <w:sz w:val="32"/>
          <w:szCs w:val="32"/>
        </w:rPr>
        <w:t>3</w:t>
      </w:r>
      <w:r>
        <w:rPr>
          <w:rFonts w:eastAsia="仿宋_GB2312"/>
          <w:sz w:val="32"/>
          <w:szCs w:val="32"/>
        </w:rPr>
        <w:t>万元。</w:t>
      </w:r>
    </w:p>
    <w:p>
      <w:pPr>
        <w:spacing w:line="578" w:lineRule="exact"/>
        <w:ind w:firstLine="640" w:firstLineChars="200"/>
        <w:rPr>
          <w:rFonts w:eastAsia="仿宋_GB2312"/>
          <w:sz w:val="32"/>
          <w:szCs w:val="32"/>
        </w:rPr>
      </w:pPr>
      <w:r>
        <w:rPr>
          <w:rFonts w:eastAsia="仿宋_GB2312"/>
          <w:sz w:val="32"/>
          <w:szCs w:val="32"/>
        </w:rPr>
        <w:t>使用非财政拨款结余</w:t>
      </w:r>
      <w:r>
        <w:rPr>
          <w:rFonts w:eastAsia="仿宋_GB2312"/>
          <w:color w:val="FF0000"/>
          <w:sz w:val="32"/>
          <w:szCs w:val="32"/>
        </w:rPr>
        <w:t>0.00</w:t>
      </w:r>
      <w:r>
        <w:rPr>
          <w:rFonts w:eastAsia="仿宋_GB2312"/>
          <w:sz w:val="32"/>
          <w:szCs w:val="32"/>
        </w:rPr>
        <w:t>万元。</w:t>
      </w:r>
    </w:p>
    <w:p>
      <w:pPr>
        <w:spacing w:line="578" w:lineRule="exact"/>
        <w:ind w:firstLine="640" w:firstLineChars="200"/>
        <w:rPr>
          <w:rFonts w:eastAsia="仿宋_GB2312"/>
          <w:sz w:val="32"/>
          <w:szCs w:val="32"/>
        </w:rPr>
      </w:pPr>
      <w:r>
        <w:rPr>
          <w:rFonts w:eastAsia="仿宋_GB2312"/>
          <w:sz w:val="32"/>
          <w:szCs w:val="32"/>
        </w:rPr>
        <w:t>年初结转结余</w:t>
      </w:r>
      <w:r>
        <w:rPr>
          <w:rFonts w:eastAsia="仿宋_GB2312"/>
          <w:color w:val="FF0000"/>
          <w:sz w:val="32"/>
          <w:szCs w:val="32"/>
        </w:rPr>
        <w:t>0</w:t>
      </w:r>
      <w:r>
        <w:rPr>
          <w:rFonts w:eastAsia="仿宋_GB2312"/>
          <w:sz w:val="32"/>
          <w:szCs w:val="32"/>
        </w:rPr>
        <w:t>万元，较2024年度决算数减少</w:t>
      </w:r>
      <w:r>
        <w:rPr>
          <w:rFonts w:eastAsia="仿宋_GB2312"/>
          <w:color w:val="FF0000"/>
          <w:sz w:val="32"/>
          <w:szCs w:val="32"/>
        </w:rPr>
        <w:t>0.19</w:t>
      </w:r>
      <w:r>
        <w:rPr>
          <w:rFonts w:eastAsia="仿宋_GB2312"/>
          <w:sz w:val="32"/>
          <w:szCs w:val="32"/>
        </w:rPr>
        <w:t>万元。</w:t>
      </w:r>
    </w:p>
    <w:p>
      <w:pPr>
        <w:spacing w:line="578" w:lineRule="exact"/>
        <w:ind w:firstLine="640" w:firstLineChars="200"/>
        <w:rPr>
          <w:rFonts w:eastAsia="楷体"/>
          <w:sz w:val="32"/>
          <w:szCs w:val="32"/>
        </w:rPr>
      </w:pPr>
      <w:r>
        <w:rPr>
          <w:rFonts w:eastAsia="楷体"/>
          <w:sz w:val="32"/>
          <w:szCs w:val="32"/>
        </w:rPr>
        <w:t>（二）支出总计主要构成</w:t>
      </w:r>
    </w:p>
    <w:p>
      <w:pPr>
        <w:spacing w:line="578" w:lineRule="exact"/>
        <w:ind w:firstLine="640" w:firstLineChars="200"/>
        <w:rPr>
          <w:rFonts w:eastAsia="仿宋_GB2312"/>
          <w:sz w:val="32"/>
          <w:szCs w:val="32"/>
        </w:rPr>
      </w:pPr>
      <w:r>
        <w:rPr>
          <w:rFonts w:eastAsia="仿宋_GB2312"/>
          <w:sz w:val="32"/>
          <w:szCs w:val="32"/>
        </w:rPr>
        <w:t>本年支出</w:t>
      </w:r>
      <w:r>
        <w:rPr>
          <w:rFonts w:eastAsia="仿宋_GB2312"/>
          <w:color w:val="FF0000"/>
          <w:sz w:val="32"/>
          <w:szCs w:val="32"/>
        </w:rPr>
        <w:t>236.3</w:t>
      </w:r>
      <w:r>
        <w:rPr>
          <w:rFonts w:hint="eastAsia" w:eastAsia="仿宋_GB2312"/>
          <w:color w:val="FF0000"/>
          <w:sz w:val="32"/>
          <w:szCs w:val="32"/>
        </w:rPr>
        <w:t>3</w:t>
      </w:r>
      <w:r>
        <w:rPr>
          <w:rFonts w:eastAsia="仿宋_GB2312"/>
          <w:sz w:val="32"/>
          <w:szCs w:val="32"/>
        </w:rPr>
        <w:t>万元。</w:t>
      </w:r>
    </w:p>
    <w:p>
      <w:pPr>
        <w:spacing w:line="578" w:lineRule="exact"/>
        <w:ind w:firstLine="640" w:firstLineChars="200"/>
        <w:rPr>
          <w:rFonts w:eastAsia="仿宋_GB2312"/>
          <w:sz w:val="32"/>
          <w:szCs w:val="32"/>
        </w:rPr>
      </w:pPr>
      <w:r>
        <w:rPr>
          <w:rFonts w:eastAsia="仿宋_GB2312"/>
          <w:sz w:val="32"/>
          <w:szCs w:val="32"/>
        </w:rPr>
        <w:t>结余分配</w:t>
      </w:r>
      <w:r>
        <w:rPr>
          <w:rFonts w:eastAsia="仿宋_GB2312"/>
          <w:color w:val="FF0000"/>
          <w:sz w:val="32"/>
          <w:szCs w:val="32"/>
        </w:rPr>
        <w:t>0.00</w:t>
      </w:r>
      <w:r>
        <w:rPr>
          <w:rFonts w:eastAsia="仿宋_GB2312"/>
          <w:sz w:val="32"/>
          <w:szCs w:val="32"/>
        </w:rPr>
        <w:t>万元。</w:t>
      </w:r>
    </w:p>
    <w:p>
      <w:pPr>
        <w:spacing w:line="578" w:lineRule="exact"/>
        <w:ind w:firstLine="640" w:firstLineChars="200"/>
        <w:rPr>
          <w:rFonts w:eastAsia="仿宋_GB2312"/>
          <w:sz w:val="32"/>
          <w:szCs w:val="32"/>
        </w:rPr>
      </w:pPr>
      <w:r>
        <w:rPr>
          <w:rFonts w:eastAsia="仿宋_GB2312"/>
          <w:sz w:val="32"/>
          <w:szCs w:val="32"/>
        </w:rPr>
        <w:t>年末结转结余</w:t>
      </w:r>
      <w:r>
        <w:rPr>
          <w:rFonts w:eastAsia="仿宋_GB2312"/>
          <w:color w:val="FF0000"/>
          <w:sz w:val="32"/>
          <w:szCs w:val="32"/>
        </w:rPr>
        <w:t>0.00</w:t>
      </w:r>
      <w:r>
        <w:rPr>
          <w:rFonts w:eastAsia="仿宋_GB2312"/>
          <w:sz w:val="32"/>
          <w:szCs w:val="32"/>
        </w:rPr>
        <w:t>万元。</w:t>
      </w:r>
    </w:p>
    <w:p>
      <w:pPr>
        <w:spacing w:line="578" w:lineRule="exact"/>
        <w:ind w:firstLine="640" w:firstLineChars="200"/>
        <w:rPr>
          <w:rFonts w:eastAsia="仿宋_GB2312"/>
          <w:sz w:val="32"/>
          <w:szCs w:val="32"/>
        </w:rPr>
      </w:pPr>
      <w:r>
        <w:rPr>
          <w:rFonts w:eastAsia="黑体"/>
          <w:bCs/>
          <w:sz w:val="32"/>
          <w:szCs w:val="32"/>
        </w:rPr>
        <w:t>二、收入决算情况说明</w:t>
      </w:r>
      <w:r>
        <w:rPr>
          <w:rFonts w:eastAsia="黑体"/>
          <w:bCs/>
          <w:sz w:val="32"/>
          <w:szCs w:val="32"/>
        </w:rPr>
        <w:br w:type="textWrapping"/>
      </w:r>
      <w:r>
        <w:rPr>
          <w:rFonts w:eastAsia="仿宋_GB2312"/>
          <w:sz w:val="32"/>
          <w:szCs w:val="32"/>
        </w:rPr>
        <w:t>本年收入</w:t>
      </w:r>
      <w:r>
        <w:rPr>
          <w:rFonts w:eastAsia="仿宋_GB2312"/>
          <w:color w:val="FF0000"/>
          <w:sz w:val="32"/>
          <w:szCs w:val="32"/>
        </w:rPr>
        <w:t>236.3</w:t>
      </w:r>
      <w:r>
        <w:rPr>
          <w:rFonts w:hint="eastAsia" w:eastAsia="仿宋_GB2312"/>
          <w:color w:val="FF0000"/>
          <w:sz w:val="32"/>
          <w:szCs w:val="32"/>
        </w:rPr>
        <w:t>3</w:t>
      </w:r>
      <w:r>
        <w:rPr>
          <w:rFonts w:eastAsia="仿宋_GB2312"/>
          <w:sz w:val="32"/>
          <w:szCs w:val="32"/>
        </w:rPr>
        <w:t>万元，其中：财政拨款收入</w:t>
      </w:r>
      <w:r>
        <w:rPr>
          <w:rFonts w:eastAsia="仿宋_GB2312"/>
          <w:color w:val="FF0000"/>
          <w:sz w:val="32"/>
          <w:szCs w:val="32"/>
        </w:rPr>
        <w:t>236.3</w:t>
      </w:r>
      <w:r>
        <w:rPr>
          <w:rFonts w:hint="eastAsia" w:eastAsia="仿宋_GB2312"/>
          <w:color w:val="FF0000"/>
          <w:sz w:val="32"/>
          <w:szCs w:val="32"/>
        </w:rPr>
        <w:t>3</w:t>
      </w:r>
      <w:r>
        <w:rPr>
          <w:rFonts w:eastAsia="仿宋_GB2312"/>
          <w:sz w:val="32"/>
          <w:szCs w:val="32"/>
        </w:rPr>
        <w:t>万元，占</w:t>
      </w:r>
      <w:r>
        <w:rPr>
          <w:rFonts w:eastAsia="仿宋_GB2312"/>
          <w:color w:val="FF0000"/>
          <w:sz w:val="32"/>
          <w:szCs w:val="32"/>
        </w:rPr>
        <w:t>100</w:t>
      </w:r>
      <w:r>
        <w:rPr>
          <w:rFonts w:eastAsia="仿宋_GB2312"/>
          <w:sz w:val="32"/>
          <w:szCs w:val="32"/>
        </w:rPr>
        <w:t>%。</w:t>
      </w:r>
    </w:p>
    <w:p>
      <w:pPr>
        <w:spacing w:line="578" w:lineRule="exact"/>
        <w:ind w:firstLine="627" w:firstLineChars="196"/>
        <w:rPr>
          <w:rFonts w:eastAsia="黑体"/>
          <w:bCs/>
          <w:sz w:val="32"/>
          <w:szCs w:val="32"/>
        </w:rPr>
      </w:pPr>
      <w:r>
        <w:rPr>
          <w:rFonts w:eastAsia="黑体"/>
          <w:bCs/>
          <w:sz w:val="32"/>
          <w:szCs w:val="32"/>
        </w:rPr>
        <w:t>三、支出决算情况说明</w:t>
      </w:r>
    </w:p>
    <w:p>
      <w:pPr>
        <w:spacing w:line="578" w:lineRule="exact"/>
        <w:ind w:firstLine="640" w:firstLineChars="200"/>
        <w:rPr>
          <w:rFonts w:eastAsia="仿宋_GB2312"/>
          <w:sz w:val="32"/>
          <w:szCs w:val="32"/>
        </w:rPr>
      </w:pPr>
      <w:r>
        <w:rPr>
          <w:rFonts w:eastAsia="仿宋_GB2312"/>
          <w:sz w:val="32"/>
          <w:szCs w:val="32"/>
        </w:rPr>
        <w:t>本年支出</w:t>
      </w:r>
      <w:r>
        <w:rPr>
          <w:rFonts w:eastAsia="仿宋_GB2312"/>
          <w:color w:val="FF0000"/>
          <w:sz w:val="32"/>
          <w:szCs w:val="32"/>
        </w:rPr>
        <w:t>236.3</w:t>
      </w:r>
      <w:r>
        <w:rPr>
          <w:rFonts w:hint="eastAsia" w:eastAsia="仿宋_GB2312"/>
          <w:color w:val="FF0000"/>
          <w:sz w:val="32"/>
          <w:szCs w:val="32"/>
        </w:rPr>
        <w:t>3</w:t>
      </w:r>
      <w:r>
        <w:rPr>
          <w:rFonts w:eastAsia="仿宋_GB2312"/>
          <w:sz w:val="32"/>
          <w:szCs w:val="32"/>
        </w:rPr>
        <w:t>万元，其中：基本支出</w:t>
      </w:r>
      <w:r>
        <w:rPr>
          <w:rFonts w:eastAsia="仿宋_GB2312"/>
          <w:color w:val="FF0000"/>
          <w:sz w:val="32"/>
          <w:szCs w:val="32"/>
        </w:rPr>
        <w:t>181.10</w:t>
      </w:r>
      <w:r>
        <w:rPr>
          <w:rFonts w:eastAsia="仿宋_GB2312"/>
          <w:sz w:val="32"/>
          <w:szCs w:val="32"/>
        </w:rPr>
        <w:t>万元，占</w:t>
      </w:r>
      <w:r>
        <w:rPr>
          <w:rFonts w:eastAsia="仿宋_GB2312"/>
          <w:color w:val="FF0000"/>
          <w:sz w:val="32"/>
          <w:szCs w:val="32"/>
        </w:rPr>
        <w:t>76.6</w:t>
      </w:r>
      <w:r>
        <w:rPr>
          <w:rFonts w:eastAsia="仿宋_GB2312"/>
          <w:sz w:val="32"/>
          <w:szCs w:val="32"/>
        </w:rPr>
        <w:t>%；项目支出</w:t>
      </w:r>
      <w:r>
        <w:rPr>
          <w:rFonts w:eastAsia="仿宋_GB2312"/>
          <w:color w:val="FF0000"/>
          <w:sz w:val="32"/>
          <w:szCs w:val="32"/>
        </w:rPr>
        <w:t>55.22</w:t>
      </w:r>
      <w:r>
        <w:rPr>
          <w:rFonts w:eastAsia="仿宋_GB2312"/>
          <w:sz w:val="32"/>
          <w:szCs w:val="32"/>
        </w:rPr>
        <w:t>万元，占</w:t>
      </w:r>
      <w:r>
        <w:rPr>
          <w:rFonts w:eastAsia="仿宋_GB2312"/>
          <w:color w:val="FF0000"/>
          <w:sz w:val="32"/>
          <w:szCs w:val="32"/>
        </w:rPr>
        <w:t>23.4</w:t>
      </w:r>
      <w:r>
        <w:rPr>
          <w:rFonts w:eastAsia="仿宋_GB2312"/>
          <w:sz w:val="32"/>
          <w:szCs w:val="32"/>
        </w:rPr>
        <w:t>%。</w:t>
      </w:r>
    </w:p>
    <w:p>
      <w:pPr>
        <w:spacing w:line="578" w:lineRule="exact"/>
        <w:ind w:firstLine="627" w:firstLineChars="196"/>
        <w:rPr>
          <w:rFonts w:eastAsia="黑体"/>
          <w:bCs/>
          <w:sz w:val="32"/>
          <w:szCs w:val="32"/>
        </w:rPr>
      </w:pPr>
      <w:r>
        <w:rPr>
          <w:rFonts w:eastAsia="黑体"/>
          <w:bCs/>
          <w:sz w:val="32"/>
          <w:szCs w:val="32"/>
        </w:rPr>
        <w:t>四、财政拨款收入支出决算总体情况说明</w:t>
      </w:r>
    </w:p>
    <w:p>
      <w:pPr>
        <w:spacing w:line="578" w:lineRule="exact"/>
        <w:ind w:firstLine="640" w:firstLineChars="200"/>
        <w:rPr>
          <w:rFonts w:eastAsia="仿宋_GB2312"/>
          <w:sz w:val="32"/>
          <w:szCs w:val="32"/>
        </w:rPr>
      </w:pPr>
      <w:r>
        <w:rPr>
          <w:rFonts w:eastAsia="仿宋_GB2312"/>
          <w:sz w:val="32"/>
          <w:szCs w:val="32"/>
        </w:rPr>
        <w:t>2025年度财政拨款收入</w:t>
      </w:r>
      <w:r>
        <w:rPr>
          <w:rFonts w:eastAsia="仿宋_GB2312"/>
          <w:color w:val="FF0000"/>
          <w:sz w:val="32"/>
          <w:szCs w:val="32"/>
        </w:rPr>
        <w:t>236.3</w:t>
      </w:r>
      <w:r>
        <w:rPr>
          <w:rFonts w:hint="eastAsia" w:eastAsia="仿宋_GB2312"/>
          <w:color w:val="FF0000"/>
          <w:sz w:val="32"/>
          <w:szCs w:val="32"/>
        </w:rPr>
        <w:t>3</w:t>
      </w:r>
      <w:r>
        <w:rPr>
          <w:rFonts w:eastAsia="仿宋_GB2312"/>
          <w:sz w:val="32"/>
          <w:szCs w:val="32"/>
        </w:rPr>
        <w:t>万元，支出</w:t>
      </w:r>
      <w:r>
        <w:rPr>
          <w:rFonts w:eastAsia="仿宋_GB2312"/>
          <w:color w:val="FF0000"/>
          <w:sz w:val="32"/>
          <w:szCs w:val="32"/>
        </w:rPr>
        <w:t>236.3</w:t>
      </w:r>
      <w:r>
        <w:rPr>
          <w:rFonts w:hint="eastAsia" w:eastAsia="仿宋_GB2312"/>
          <w:color w:val="FF0000"/>
          <w:sz w:val="32"/>
          <w:szCs w:val="32"/>
        </w:rPr>
        <w:t>3</w:t>
      </w:r>
      <w:r>
        <w:rPr>
          <w:rFonts w:eastAsia="仿宋_GB2312"/>
          <w:sz w:val="32"/>
          <w:szCs w:val="32"/>
        </w:rPr>
        <w:t>万元。与2024年度相比，财政拨款收入增加7.73万元，增长3.38%，主要原因：2025年比如县食品安全快速检测室正式运行，其中食品药品监管补助资金增加，食品安全快检员经费新增。</w:t>
      </w:r>
    </w:p>
    <w:p>
      <w:pPr>
        <w:spacing w:line="578" w:lineRule="exact"/>
        <w:ind w:firstLine="640" w:firstLineChars="200"/>
        <w:rPr>
          <w:rFonts w:eastAsia="仿宋_GB2312"/>
          <w:sz w:val="32"/>
          <w:szCs w:val="32"/>
        </w:rPr>
      </w:pPr>
      <w:r>
        <w:rPr>
          <w:rFonts w:eastAsia="仿宋_GB2312"/>
          <w:sz w:val="32"/>
          <w:szCs w:val="32"/>
        </w:rPr>
        <w:t>财政拨款年初结转结余</w:t>
      </w:r>
      <w:r>
        <w:rPr>
          <w:rFonts w:eastAsia="仿宋_GB2312"/>
          <w:color w:val="FF0000"/>
          <w:sz w:val="32"/>
          <w:szCs w:val="32"/>
        </w:rPr>
        <w:t>0</w:t>
      </w:r>
      <w:r>
        <w:rPr>
          <w:rFonts w:eastAsia="仿宋_GB2312"/>
          <w:sz w:val="32"/>
          <w:szCs w:val="32"/>
        </w:rPr>
        <w:t>万元，较2024年度决算数减少</w:t>
      </w:r>
      <w:r>
        <w:rPr>
          <w:rFonts w:eastAsia="仿宋_GB2312"/>
          <w:color w:val="FF0000"/>
          <w:sz w:val="32"/>
          <w:szCs w:val="32"/>
        </w:rPr>
        <w:t>0.19</w:t>
      </w:r>
      <w:r>
        <w:rPr>
          <w:rFonts w:eastAsia="仿宋_GB2312"/>
          <w:sz w:val="32"/>
          <w:szCs w:val="32"/>
        </w:rPr>
        <w:t>万元。</w:t>
      </w:r>
    </w:p>
    <w:p>
      <w:pPr>
        <w:spacing w:line="578" w:lineRule="exact"/>
        <w:ind w:firstLine="640" w:firstLineChars="200"/>
        <w:rPr>
          <w:rFonts w:eastAsia="仿宋_GB2312"/>
          <w:sz w:val="32"/>
          <w:szCs w:val="32"/>
        </w:rPr>
      </w:pPr>
      <w:r>
        <w:rPr>
          <w:rFonts w:eastAsia="仿宋_GB2312"/>
          <w:sz w:val="32"/>
          <w:szCs w:val="32"/>
        </w:rPr>
        <w:t>财政拨款年末结转结余</w:t>
      </w:r>
      <w:r>
        <w:rPr>
          <w:rFonts w:eastAsia="仿宋_GB2312"/>
          <w:color w:val="FF0000"/>
          <w:sz w:val="32"/>
          <w:szCs w:val="32"/>
        </w:rPr>
        <w:t>0.00</w:t>
      </w:r>
      <w:r>
        <w:rPr>
          <w:rFonts w:eastAsia="仿宋_GB2312"/>
          <w:sz w:val="32"/>
          <w:szCs w:val="32"/>
        </w:rPr>
        <w:t>万元，较2024度决算数增加</w:t>
      </w:r>
      <w:r>
        <w:rPr>
          <w:rFonts w:eastAsia="仿宋_GB2312"/>
          <w:color w:val="FF0000"/>
          <w:sz w:val="32"/>
          <w:szCs w:val="32"/>
        </w:rPr>
        <w:t>0</w:t>
      </w:r>
      <w:r>
        <w:rPr>
          <w:rFonts w:eastAsia="仿宋_GB2312"/>
          <w:sz w:val="32"/>
          <w:szCs w:val="32"/>
        </w:rPr>
        <w:t>万元。</w:t>
      </w:r>
    </w:p>
    <w:p>
      <w:pPr>
        <w:spacing w:line="578" w:lineRule="exact"/>
        <w:ind w:firstLine="627" w:firstLineChars="196"/>
        <w:rPr>
          <w:rFonts w:eastAsia="黑体"/>
          <w:bCs/>
          <w:sz w:val="32"/>
          <w:szCs w:val="32"/>
        </w:rPr>
      </w:pPr>
      <w:r>
        <w:rPr>
          <w:rFonts w:eastAsia="黑体"/>
          <w:bCs/>
          <w:sz w:val="32"/>
          <w:szCs w:val="32"/>
        </w:rPr>
        <w:t>五、一般公共预算财政拨款支出决算情况说明</w:t>
      </w:r>
    </w:p>
    <w:p>
      <w:pPr>
        <w:spacing w:line="578" w:lineRule="exact"/>
        <w:ind w:firstLine="640" w:firstLineChars="200"/>
        <w:rPr>
          <w:rFonts w:eastAsia="楷体"/>
          <w:sz w:val="32"/>
          <w:szCs w:val="32"/>
        </w:rPr>
      </w:pPr>
      <w:bookmarkStart w:id="76" w:name="_Toc21737_WPSOffice_Level2"/>
      <w:bookmarkStart w:id="77" w:name="_Toc17398_WPSOffice_Level2"/>
      <w:bookmarkStart w:id="78" w:name="_Toc13694_WPSOffice_Level2"/>
      <w:bookmarkStart w:id="79" w:name="_Toc23005_WPSOffice_Level2"/>
      <w:bookmarkStart w:id="80" w:name="_Toc9989_WPSOffice_Level2"/>
      <w:bookmarkStart w:id="81" w:name="_Toc19665_WPSOffice_Level2"/>
      <w:r>
        <w:rPr>
          <w:rFonts w:eastAsia="楷体"/>
          <w:sz w:val="32"/>
          <w:szCs w:val="32"/>
        </w:rPr>
        <w:t>（一）一般公共预算财政拨款支出决算总体情况</w:t>
      </w:r>
      <w:bookmarkEnd w:id="76"/>
      <w:bookmarkEnd w:id="77"/>
      <w:bookmarkEnd w:id="78"/>
      <w:bookmarkEnd w:id="79"/>
      <w:bookmarkEnd w:id="80"/>
      <w:bookmarkEnd w:id="81"/>
    </w:p>
    <w:p>
      <w:pPr>
        <w:spacing w:line="578" w:lineRule="exact"/>
        <w:ind w:firstLine="640" w:firstLineChars="200"/>
        <w:rPr>
          <w:rFonts w:eastAsia="仿宋_GB2312"/>
          <w:sz w:val="32"/>
          <w:szCs w:val="32"/>
        </w:rPr>
      </w:pPr>
      <w:r>
        <w:rPr>
          <w:rFonts w:eastAsia="仿宋_GB2312"/>
          <w:sz w:val="32"/>
          <w:szCs w:val="32"/>
        </w:rPr>
        <w:t>2025度一般公共预算财政拨款支出</w:t>
      </w:r>
      <w:r>
        <w:rPr>
          <w:rFonts w:eastAsia="仿宋_GB2312"/>
          <w:color w:val="FF0000"/>
          <w:sz w:val="32"/>
          <w:szCs w:val="32"/>
        </w:rPr>
        <w:t>236.3</w:t>
      </w:r>
      <w:r>
        <w:rPr>
          <w:rFonts w:hint="eastAsia" w:eastAsia="仿宋_GB2312"/>
          <w:color w:val="FF0000"/>
          <w:sz w:val="32"/>
          <w:szCs w:val="32"/>
        </w:rPr>
        <w:t>3</w:t>
      </w:r>
      <w:r>
        <w:rPr>
          <w:rFonts w:eastAsia="仿宋_GB2312"/>
          <w:sz w:val="32"/>
          <w:szCs w:val="32"/>
        </w:rPr>
        <w:t>万元，占本年支出合计的</w:t>
      </w:r>
      <w:r>
        <w:rPr>
          <w:rFonts w:eastAsia="仿宋_GB2312"/>
          <w:color w:val="FF0000"/>
          <w:sz w:val="32"/>
          <w:szCs w:val="32"/>
        </w:rPr>
        <w:t>100</w:t>
      </w:r>
      <w:r>
        <w:rPr>
          <w:rFonts w:eastAsia="仿宋_GB2312"/>
          <w:sz w:val="32"/>
          <w:szCs w:val="32"/>
        </w:rPr>
        <w:t>%。与2024年度相比，一般公共预算财政拨款支出增加</w:t>
      </w:r>
      <w:r>
        <w:rPr>
          <w:rFonts w:eastAsia="仿宋_GB2312"/>
          <w:color w:val="FF0000"/>
          <w:sz w:val="32"/>
          <w:szCs w:val="32"/>
        </w:rPr>
        <w:t>7.73</w:t>
      </w:r>
      <w:r>
        <w:rPr>
          <w:rFonts w:eastAsia="仿宋_GB2312"/>
          <w:sz w:val="32"/>
          <w:szCs w:val="32"/>
        </w:rPr>
        <w:t>万元，增长3.38%，主要原因是2025年比如县食品安全快速检测室正式运行，其中食品药品监管补助资金增加，食品安全快检员经费新增。</w:t>
      </w:r>
    </w:p>
    <w:p>
      <w:pPr>
        <w:spacing w:line="578" w:lineRule="exact"/>
        <w:ind w:firstLine="640" w:firstLineChars="200"/>
        <w:rPr>
          <w:rFonts w:eastAsia="楷体"/>
          <w:sz w:val="32"/>
          <w:szCs w:val="32"/>
        </w:rPr>
      </w:pPr>
      <w:bookmarkStart w:id="82" w:name="_Toc27767_WPSOffice_Level2"/>
      <w:bookmarkStart w:id="83" w:name="_Toc2711_WPSOffice_Level2"/>
      <w:bookmarkStart w:id="84" w:name="_Toc23864_WPSOffice_Level2"/>
      <w:bookmarkStart w:id="85" w:name="_Toc18793_WPSOffice_Level2"/>
      <w:bookmarkStart w:id="86" w:name="_Toc19535_WPSOffice_Level2"/>
      <w:bookmarkStart w:id="87" w:name="_Toc19075_WPSOffice_Level2"/>
      <w:r>
        <w:rPr>
          <w:rFonts w:eastAsia="楷体"/>
          <w:sz w:val="32"/>
          <w:szCs w:val="32"/>
        </w:rPr>
        <w:t>（二）一般公共预算财政拨款支出决算结构情况</w:t>
      </w:r>
      <w:bookmarkEnd w:id="82"/>
      <w:bookmarkEnd w:id="83"/>
      <w:bookmarkEnd w:id="84"/>
      <w:bookmarkEnd w:id="85"/>
      <w:bookmarkEnd w:id="86"/>
      <w:bookmarkEnd w:id="87"/>
    </w:p>
    <w:p>
      <w:pPr>
        <w:spacing w:line="578" w:lineRule="exact"/>
        <w:ind w:firstLine="640" w:firstLineChars="200"/>
        <w:rPr>
          <w:rFonts w:eastAsia="仿宋_GB2312"/>
          <w:sz w:val="32"/>
          <w:szCs w:val="32"/>
        </w:rPr>
      </w:pPr>
      <w:r>
        <w:rPr>
          <w:rFonts w:eastAsia="仿宋_GB2312"/>
          <w:sz w:val="32"/>
          <w:szCs w:val="32"/>
        </w:rPr>
        <w:t>2025年度一般公共预算财政拨款支出</w:t>
      </w:r>
      <w:r>
        <w:rPr>
          <w:rFonts w:eastAsia="仿宋_GB2312"/>
          <w:color w:val="FF0000"/>
          <w:sz w:val="32"/>
          <w:szCs w:val="32"/>
        </w:rPr>
        <w:t>236.3</w:t>
      </w:r>
      <w:r>
        <w:rPr>
          <w:rFonts w:hint="eastAsia" w:eastAsia="仿宋_GB2312"/>
          <w:color w:val="FF0000"/>
          <w:sz w:val="32"/>
          <w:szCs w:val="32"/>
        </w:rPr>
        <w:t>3</w:t>
      </w:r>
      <w:r>
        <w:rPr>
          <w:rFonts w:eastAsia="仿宋_GB2312"/>
          <w:sz w:val="32"/>
          <w:szCs w:val="32"/>
        </w:rPr>
        <w:t>万元，主要用于以下方面：</w:t>
      </w:r>
      <w:r>
        <w:rPr>
          <w:rFonts w:eastAsia="仿宋_GB2312"/>
          <w:b/>
          <w:sz w:val="32"/>
          <w:szCs w:val="32"/>
        </w:rPr>
        <w:t>人员类经费</w:t>
      </w:r>
      <w:r>
        <w:rPr>
          <w:rFonts w:eastAsia="仿宋_GB2312"/>
          <w:sz w:val="32"/>
          <w:szCs w:val="32"/>
        </w:rPr>
        <w:t>支出</w:t>
      </w:r>
      <w:r>
        <w:rPr>
          <w:rFonts w:eastAsia="仿宋_GB2312"/>
          <w:color w:val="FF0000"/>
          <w:sz w:val="32"/>
          <w:szCs w:val="32"/>
        </w:rPr>
        <w:t>172.89</w:t>
      </w:r>
      <w:r>
        <w:rPr>
          <w:rFonts w:eastAsia="仿宋_GB2312"/>
          <w:sz w:val="32"/>
          <w:szCs w:val="32"/>
        </w:rPr>
        <w:t>万元，占</w:t>
      </w:r>
      <w:r>
        <w:rPr>
          <w:rFonts w:eastAsia="仿宋_GB2312"/>
          <w:color w:val="FF0000"/>
          <w:sz w:val="32"/>
          <w:szCs w:val="32"/>
        </w:rPr>
        <w:t>73.16</w:t>
      </w:r>
      <w:r>
        <w:rPr>
          <w:rFonts w:eastAsia="仿宋_GB2312"/>
          <w:sz w:val="32"/>
          <w:szCs w:val="32"/>
        </w:rPr>
        <w:t>%；日常公用经费支出</w:t>
      </w:r>
      <w:r>
        <w:rPr>
          <w:rFonts w:eastAsia="仿宋_GB2312"/>
          <w:color w:val="FF0000"/>
          <w:sz w:val="32"/>
          <w:szCs w:val="32"/>
        </w:rPr>
        <w:t>8.22</w:t>
      </w:r>
      <w:r>
        <w:rPr>
          <w:rFonts w:eastAsia="仿宋_GB2312"/>
          <w:sz w:val="32"/>
          <w:szCs w:val="32"/>
        </w:rPr>
        <w:t>万元，占</w:t>
      </w:r>
      <w:r>
        <w:rPr>
          <w:rFonts w:eastAsia="仿宋_GB2312"/>
          <w:color w:val="FF0000"/>
          <w:sz w:val="32"/>
          <w:szCs w:val="32"/>
        </w:rPr>
        <w:t>3.48</w:t>
      </w:r>
      <w:r>
        <w:rPr>
          <w:rFonts w:eastAsia="仿宋_GB2312"/>
          <w:sz w:val="32"/>
          <w:szCs w:val="32"/>
        </w:rPr>
        <w:t>%；</w:t>
      </w:r>
      <w:r>
        <w:rPr>
          <w:rFonts w:eastAsia="仿宋_GB2312"/>
          <w:b/>
          <w:bCs/>
          <w:sz w:val="32"/>
          <w:szCs w:val="32"/>
        </w:rPr>
        <w:t>项目类</w:t>
      </w:r>
      <w:r>
        <w:rPr>
          <w:rFonts w:eastAsia="仿宋_GB2312"/>
          <w:sz w:val="32"/>
          <w:szCs w:val="32"/>
        </w:rPr>
        <w:t>支出</w:t>
      </w:r>
      <w:r>
        <w:rPr>
          <w:rFonts w:eastAsia="仿宋_GB2312"/>
          <w:color w:val="FF0000"/>
          <w:sz w:val="32"/>
          <w:szCs w:val="32"/>
        </w:rPr>
        <w:t>55.22</w:t>
      </w:r>
      <w:r>
        <w:rPr>
          <w:rFonts w:eastAsia="仿宋_GB2312"/>
          <w:sz w:val="32"/>
          <w:szCs w:val="32"/>
        </w:rPr>
        <w:t>万元，占</w:t>
      </w:r>
      <w:r>
        <w:rPr>
          <w:rFonts w:eastAsia="仿宋_GB2312"/>
          <w:color w:val="FF0000"/>
          <w:sz w:val="32"/>
          <w:szCs w:val="32"/>
        </w:rPr>
        <w:t>23.3</w:t>
      </w:r>
      <w:r>
        <w:rPr>
          <w:rFonts w:hint="eastAsia" w:eastAsia="仿宋_GB2312"/>
          <w:color w:val="FF0000"/>
          <w:sz w:val="32"/>
          <w:szCs w:val="32"/>
        </w:rPr>
        <w:t>6</w:t>
      </w:r>
      <w:r>
        <w:rPr>
          <w:rFonts w:eastAsia="仿宋_GB2312"/>
          <w:sz w:val="32"/>
          <w:szCs w:val="32"/>
        </w:rPr>
        <w:t>%。</w:t>
      </w:r>
    </w:p>
    <w:p>
      <w:pPr>
        <w:spacing w:line="578" w:lineRule="exact"/>
        <w:ind w:firstLine="640" w:firstLineChars="200"/>
        <w:rPr>
          <w:rFonts w:eastAsia="楷体"/>
          <w:sz w:val="32"/>
          <w:szCs w:val="32"/>
        </w:rPr>
      </w:pPr>
      <w:bookmarkStart w:id="88" w:name="_Toc29364_WPSOffice_Level2"/>
      <w:bookmarkStart w:id="89" w:name="_Toc15415_WPSOffice_Level2"/>
      <w:bookmarkStart w:id="90" w:name="_Toc9502_WPSOffice_Level2"/>
      <w:bookmarkStart w:id="91" w:name="_Toc21701_WPSOffice_Level2"/>
      <w:bookmarkStart w:id="92" w:name="_Toc22318_WPSOffice_Level2"/>
      <w:bookmarkStart w:id="93" w:name="_Toc25136_WPSOffice_Level2"/>
      <w:r>
        <w:rPr>
          <w:rFonts w:eastAsia="楷体"/>
          <w:sz w:val="32"/>
          <w:szCs w:val="32"/>
        </w:rPr>
        <w:t>（三）一般公共预算财政拨款支出决算具体情况</w:t>
      </w:r>
      <w:bookmarkEnd w:id="88"/>
      <w:bookmarkEnd w:id="89"/>
      <w:bookmarkEnd w:id="90"/>
      <w:bookmarkEnd w:id="91"/>
      <w:bookmarkEnd w:id="92"/>
      <w:bookmarkEnd w:id="93"/>
    </w:p>
    <w:p>
      <w:pPr>
        <w:spacing w:line="578" w:lineRule="exact"/>
        <w:ind w:firstLine="640" w:firstLineChars="200"/>
        <w:rPr>
          <w:rFonts w:eastAsia="仿宋_GB2312"/>
          <w:sz w:val="32"/>
          <w:szCs w:val="32"/>
        </w:rPr>
      </w:pPr>
      <w:r>
        <w:rPr>
          <w:rFonts w:eastAsia="仿宋_GB2312"/>
          <w:sz w:val="32"/>
          <w:szCs w:val="32"/>
        </w:rPr>
        <w:t>2025年度一般公共预算财政拨款支出年初预算为</w:t>
      </w:r>
      <w:r>
        <w:rPr>
          <w:rFonts w:eastAsia="仿宋_GB2312"/>
          <w:color w:val="FF0000"/>
          <w:sz w:val="32"/>
          <w:szCs w:val="32"/>
        </w:rPr>
        <w:t>170.52</w:t>
      </w:r>
      <w:r>
        <w:rPr>
          <w:rFonts w:eastAsia="仿宋_GB2312"/>
          <w:sz w:val="32"/>
          <w:szCs w:val="32"/>
        </w:rPr>
        <w:t>万元，支出决算为</w:t>
      </w:r>
      <w:r>
        <w:rPr>
          <w:rFonts w:eastAsia="仿宋_GB2312"/>
          <w:color w:val="FF0000"/>
          <w:sz w:val="32"/>
          <w:szCs w:val="32"/>
        </w:rPr>
        <w:t>236.3</w:t>
      </w:r>
      <w:r>
        <w:rPr>
          <w:rFonts w:hint="eastAsia" w:eastAsia="仿宋_GB2312"/>
          <w:color w:val="FF0000"/>
          <w:sz w:val="32"/>
          <w:szCs w:val="32"/>
        </w:rPr>
        <w:t>3</w:t>
      </w:r>
      <w:r>
        <w:rPr>
          <w:rFonts w:eastAsia="仿宋_GB2312"/>
          <w:sz w:val="32"/>
          <w:szCs w:val="32"/>
        </w:rPr>
        <w:t>万元，完成年初预算的</w:t>
      </w:r>
      <w:r>
        <w:rPr>
          <w:rFonts w:eastAsia="仿宋_GB2312"/>
          <w:color w:val="FF0000"/>
          <w:sz w:val="32"/>
          <w:szCs w:val="32"/>
        </w:rPr>
        <w:t>100</w:t>
      </w:r>
      <w:r>
        <w:rPr>
          <w:rFonts w:eastAsia="仿宋_GB2312"/>
          <w:sz w:val="32"/>
          <w:szCs w:val="32"/>
        </w:rPr>
        <w:t>%。其中：</w:t>
      </w:r>
    </w:p>
    <w:p>
      <w:pPr>
        <w:spacing w:line="578" w:lineRule="exact"/>
        <w:ind w:firstLine="640" w:firstLineChars="200"/>
        <w:rPr>
          <w:rFonts w:eastAsia="仿宋_GB2312"/>
          <w:b/>
          <w:sz w:val="32"/>
          <w:szCs w:val="32"/>
        </w:rPr>
      </w:pPr>
      <w:r>
        <w:rPr>
          <w:rFonts w:eastAsia="仿宋_GB2312"/>
          <w:sz w:val="32"/>
          <w:szCs w:val="32"/>
        </w:rPr>
        <w:t>1.</w:t>
      </w:r>
      <w:r>
        <w:rPr>
          <w:rFonts w:eastAsia="仿宋_GB2312"/>
          <w:b/>
          <w:sz w:val="32"/>
          <w:szCs w:val="32"/>
        </w:rPr>
        <w:t>一般公共服务（类）组织管事务（款）其他组织事务支出（项）。</w:t>
      </w:r>
    </w:p>
    <w:p>
      <w:pPr>
        <w:spacing w:line="578" w:lineRule="exact"/>
        <w:rPr>
          <w:rFonts w:eastAsia="仿宋_GB2312"/>
          <w:sz w:val="32"/>
          <w:szCs w:val="32"/>
        </w:rPr>
      </w:pPr>
      <w:r>
        <w:rPr>
          <w:rFonts w:eastAsia="仿宋_GB2312"/>
          <w:sz w:val="32"/>
          <w:szCs w:val="32"/>
        </w:rPr>
        <w:t>年初预算为</w:t>
      </w:r>
      <w:r>
        <w:rPr>
          <w:rFonts w:eastAsia="仿宋_GB2312"/>
          <w:color w:val="FF0000"/>
          <w:sz w:val="32"/>
          <w:szCs w:val="32"/>
        </w:rPr>
        <w:t>2.2</w:t>
      </w:r>
      <w:r>
        <w:rPr>
          <w:rFonts w:eastAsia="仿宋_GB2312"/>
          <w:sz w:val="32"/>
          <w:szCs w:val="32"/>
        </w:rPr>
        <w:t>万元，支出决算为</w:t>
      </w:r>
      <w:r>
        <w:rPr>
          <w:rFonts w:eastAsia="仿宋_GB2312"/>
          <w:color w:val="FF0000"/>
          <w:sz w:val="32"/>
          <w:szCs w:val="32"/>
        </w:rPr>
        <w:t>2.2</w:t>
      </w:r>
      <w:r>
        <w:rPr>
          <w:rFonts w:eastAsia="仿宋_GB2312"/>
          <w:sz w:val="32"/>
          <w:szCs w:val="32"/>
        </w:rPr>
        <w:t>万元，完成年初预算的</w:t>
      </w:r>
      <w:r>
        <w:rPr>
          <w:rFonts w:eastAsia="仿宋_GB2312"/>
          <w:color w:val="FF0000"/>
          <w:sz w:val="32"/>
          <w:szCs w:val="32"/>
        </w:rPr>
        <w:t>100</w:t>
      </w:r>
      <w:r>
        <w:rPr>
          <w:rFonts w:eastAsia="仿宋_GB2312"/>
          <w:sz w:val="32"/>
          <w:szCs w:val="32"/>
        </w:rPr>
        <w:t>%。</w:t>
      </w:r>
    </w:p>
    <w:p>
      <w:pPr>
        <w:spacing w:line="578" w:lineRule="exact"/>
        <w:ind w:firstLine="640" w:firstLineChars="200"/>
        <w:rPr>
          <w:rFonts w:eastAsia="仿宋_GB2312"/>
          <w:b/>
          <w:sz w:val="32"/>
          <w:szCs w:val="32"/>
        </w:rPr>
      </w:pPr>
      <w:r>
        <w:rPr>
          <w:rFonts w:eastAsia="仿宋_GB2312"/>
          <w:sz w:val="32"/>
          <w:szCs w:val="32"/>
        </w:rPr>
        <w:t>2.</w:t>
      </w:r>
      <w:r>
        <w:rPr>
          <w:rFonts w:eastAsia="仿宋_GB2312"/>
          <w:b/>
          <w:sz w:val="32"/>
          <w:szCs w:val="32"/>
        </w:rPr>
        <w:t>市场监督管理事务。</w:t>
      </w:r>
    </w:p>
    <w:p>
      <w:pPr>
        <w:spacing w:line="578" w:lineRule="exact"/>
        <w:rPr>
          <w:rFonts w:eastAsia="仿宋_GB2312"/>
          <w:sz w:val="32"/>
          <w:szCs w:val="32"/>
        </w:rPr>
      </w:pPr>
      <w:r>
        <w:rPr>
          <w:rFonts w:eastAsia="仿宋_GB2312"/>
          <w:sz w:val="32"/>
          <w:szCs w:val="32"/>
        </w:rPr>
        <w:t>年初预算为</w:t>
      </w:r>
      <w:r>
        <w:rPr>
          <w:rFonts w:eastAsia="仿宋_GB2312"/>
          <w:color w:val="FF0000"/>
          <w:sz w:val="32"/>
          <w:szCs w:val="32"/>
        </w:rPr>
        <w:t>194.77</w:t>
      </w:r>
      <w:r>
        <w:rPr>
          <w:rFonts w:eastAsia="仿宋_GB2312"/>
          <w:sz w:val="32"/>
          <w:szCs w:val="32"/>
        </w:rPr>
        <w:t>万元，支出决算为</w:t>
      </w:r>
      <w:r>
        <w:rPr>
          <w:rFonts w:eastAsia="仿宋_GB2312"/>
          <w:color w:val="FF0000"/>
          <w:sz w:val="32"/>
          <w:szCs w:val="32"/>
        </w:rPr>
        <w:t>194.77</w:t>
      </w:r>
      <w:r>
        <w:rPr>
          <w:rFonts w:eastAsia="仿宋_GB2312"/>
          <w:sz w:val="32"/>
          <w:szCs w:val="32"/>
        </w:rPr>
        <w:t>万元，完成年初预算的</w:t>
      </w:r>
      <w:r>
        <w:rPr>
          <w:rFonts w:eastAsia="仿宋_GB2312"/>
          <w:color w:val="FF0000"/>
          <w:sz w:val="32"/>
          <w:szCs w:val="32"/>
        </w:rPr>
        <w:t>100</w:t>
      </w:r>
      <w:r>
        <w:rPr>
          <w:rFonts w:eastAsia="仿宋_GB2312"/>
          <w:sz w:val="32"/>
          <w:szCs w:val="32"/>
        </w:rPr>
        <w:t>%。</w:t>
      </w:r>
    </w:p>
    <w:p>
      <w:pPr>
        <w:spacing w:line="578" w:lineRule="exact"/>
        <w:rPr>
          <w:rFonts w:eastAsia="仿宋_GB2312"/>
          <w:sz w:val="32"/>
          <w:szCs w:val="32"/>
        </w:rPr>
      </w:pPr>
      <w:r>
        <w:rPr>
          <w:rFonts w:eastAsia="仿宋_GB2312"/>
          <w:sz w:val="32"/>
          <w:szCs w:val="32"/>
        </w:rPr>
        <w:t>3.社会保障和就业支出。年初预算为</w:t>
      </w:r>
      <w:r>
        <w:rPr>
          <w:rFonts w:eastAsia="仿宋_GB2312"/>
          <w:color w:val="FF0000"/>
          <w:sz w:val="32"/>
          <w:szCs w:val="32"/>
        </w:rPr>
        <w:t>17.13</w:t>
      </w:r>
      <w:r>
        <w:rPr>
          <w:rFonts w:eastAsia="仿宋_GB2312"/>
          <w:sz w:val="32"/>
          <w:szCs w:val="32"/>
        </w:rPr>
        <w:t>万元，支出决算为</w:t>
      </w:r>
      <w:r>
        <w:rPr>
          <w:rFonts w:eastAsia="仿宋_GB2312"/>
          <w:color w:val="FF0000"/>
          <w:sz w:val="32"/>
          <w:szCs w:val="32"/>
        </w:rPr>
        <w:t>17.13</w:t>
      </w:r>
      <w:r>
        <w:rPr>
          <w:rFonts w:eastAsia="仿宋_GB2312"/>
          <w:sz w:val="32"/>
          <w:szCs w:val="32"/>
        </w:rPr>
        <w:t>万元，完成年初预算的</w:t>
      </w:r>
      <w:r>
        <w:rPr>
          <w:rFonts w:eastAsia="仿宋_GB2312"/>
          <w:color w:val="FF0000"/>
          <w:sz w:val="32"/>
          <w:szCs w:val="32"/>
        </w:rPr>
        <w:t>100</w:t>
      </w:r>
      <w:r>
        <w:rPr>
          <w:rFonts w:eastAsia="仿宋_GB2312"/>
          <w:sz w:val="32"/>
          <w:szCs w:val="32"/>
        </w:rPr>
        <w:t>%。</w:t>
      </w:r>
    </w:p>
    <w:p>
      <w:pPr>
        <w:spacing w:line="578" w:lineRule="exact"/>
        <w:rPr>
          <w:rFonts w:eastAsia="仿宋_GB2312"/>
          <w:sz w:val="32"/>
          <w:szCs w:val="32"/>
        </w:rPr>
      </w:pPr>
      <w:r>
        <w:rPr>
          <w:rFonts w:eastAsia="仿宋_GB2312"/>
          <w:sz w:val="32"/>
          <w:szCs w:val="32"/>
        </w:rPr>
        <w:t>4.财政对其他社会保险基金的补助。年初预算为</w:t>
      </w:r>
      <w:r>
        <w:rPr>
          <w:rFonts w:eastAsia="仿宋_GB2312"/>
          <w:color w:val="FF0000"/>
          <w:sz w:val="32"/>
          <w:szCs w:val="32"/>
        </w:rPr>
        <w:t>0.11</w:t>
      </w:r>
      <w:r>
        <w:rPr>
          <w:rFonts w:eastAsia="仿宋_GB2312"/>
          <w:sz w:val="32"/>
          <w:szCs w:val="32"/>
        </w:rPr>
        <w:t>万元，支出决算为</w:t>
      </w:r>
      <w:r>
        <w:rPr>
          <w:rFonts w:eastAsia="仿宋_GB2312"/>
          <w:color w:val="FF0000"/>
          <w:sz w:val="32"/>
          <w:szCs w:val="32"/>
        </w:rPr>
        <w:t>0.11</w:t>
      </w:r>
      <w:r>
        <w:rPr>
          <w:rFonts w:eastAsia="仿宋_GB2312"/>
          <w:sz w:val="32"/>
          <w:szCs w:val="32"/>
        </w:rPr>
        <w:t>万元，完成年初预算的</w:t>
      </w:r>
      <w:r>
        <w:rPr>
          <w:rFonts w:eastAsia="仿宋_GB2312"/>
          <w:color w:val="FF0000"/>
          <w:sz w:val="32"/>
          <w:szCs w:val="32"/>
        </w:rPr>
        <w:t>100</w:t>
      </w:r>
      <w:r>
        <w:rPr>
          <w:rFonts w:eastAsia="仿宋_GB2312"/>
          <w:sz w:val="32"/>
          <w:szCs w:val="32"/>
        </w:rPr>
        <w:t>%。</w:t>
      </w:r>
    </w:p>
    <w:p>
      <w:pPr>
        <w:spacing w:line="578" w:lineRule="exact"/>
        <w:rPr>
          <w:rFonts w:eastAsia="仿宋_GB2312"/>
          <w:sz w:val="32"/>
          <w:szCs w:val="32"/>
        </w:rPr>
      </w:pPr>
      <w:r>
        <w:rPr>
          <w:rFonts w:eastAsia="仿宋_GB2312"/>
          <w:sz w:val="32"/>
          <w:szCs w:val="32"/>
        </w:rPr>
        <w:t>5.卫生健康支出。年初预算为</w:t>
      </w:r>
      <w:r>
        <w:rPr>
          <w:rFonts w:eastAsia="仿宋_GB2312"/>
          <w:color w:val="FF0000"/>
          <w:sz w:val="32"/>
          <w:szCs w:val="32"/>
        </w:rPr>
        <w:t>11.76</w:t>
      </w:r>
      <w:r>
        <w:rPr>
          <w:rFonts w:eastAsia="仿宋_GB2312"/>
          <w:sz w:val="32"/>
          <w:szCs w:val="32"/>
        </w:rPr>
        <w:t>万元，支出决算为</w:t>
      </w:r>
      <w:r>
        <w:rPr>
          <w:rFonts w:eastAsia="仿宋_GB2312"/>
          <w:color w:val="FF0000"/>
          <w:sz w:val="32"/>
          <w:szCs w:val="32"/>
        </w:rPr>
        <w:t>11.76</w:t>
      </w:r>
      <w:r>
        <w:rPr>
          <w:rFonts w:eastAsia="仿宋_GB2312"/>
          <w:sz w:val="32"/>
          <w:szCs w:val="32"/>
        </w:rPr>
        <w:t>万元，完成年初预算的</w:t>
      </w:r>
      <w:r>
        <w:rPr>
          <w:rFonts w:eastAsia="仿宋_GB2312"/>
          <w:color w:val="FF0000"/>
          <w:sz w:val="32"/>
          <w:szCs w:val="32"/>
        </w:rPr>
        <w:t>100</w:t>
      </w:r>
      <w:r>
        <w:rPr>
          <w:rFonts w:eastAsia="仿宋_GB2312"/>
          <w:sz w:val="32"/>
          <w:szCs w:val="32"/>
        </w:rPr>
        <w:t>%。</w:t>
      </w:r>
    </w:p>
    <w:p>
      <w:pPr>
        <w:spacing w:line="578" w:lineRule="exact"/>
        <w:rPr>
          <w:rFonts w:eastAsia="仿宋_GB2312"/>
          <w:sz w:val="32"/>
          <w:szCs w:val="32"/>
        </w:rPr>
      </w:pPr>
      <w:r>
        <w:rPr>
          <w:rFonts w:eastAsia="仿宋_GB2312"/>
          <w:sz w:val="32"/>
          <w:szCs w:val="32"/>
        </w:rPr>
        <w:t>6.住房保障支出。年初预算为</w:t>
      </w:r>
      <w:r>
        <w:rPr>
          <w:rFonts w:eastAsia="仿宋_GB2312"/>
          <w:color w:val="FF0000"/>
          <w:sz w:val="32"/>
          <w:szCs w:val="32"/>
        </w:rPr>
        <w:t>10.46</w:t>
      </w:r>
      <w:r>
        <w:rPr>
          <w:rFonts w:eastAsia="仿宋_GB2312"/>
          <w:sz w:val="32"/>
          <w:szCs w:val="32"/>
        </w:rPr>
        <w:t>万元，支出决算为</w:t>
      </w:r>
      <w:r>
        <w:rPr>
          <w:rFonts w:eastAsia="仿宋_GB2312"/>
          <w:color w:val="FF0000"/>
          <w:sz w:val="32"/>
          <w:szCs w:val="32"/>
        </w:rPr>
        <w:t>10.46</w:t>
      </w:r>
      <w:r>
        <w:rPr>
          <w:rFonts w:eastAsia="仿宋_GB2312"/>
          <w:sz w:val="32"/>
          <w:szCs w:val="32"/>
        </w:rPr>
        <w:t>万元，完成年初预算的</w:t>
      </w:r>
      <w:r>
        <w:rPr>
          <w:rFonts w:eastAsia="仿宋_GB2312"/>
          <w:color w:val="FF0000"/>
          <w:sz w:val="32"/>
          <w:szCs w:val="32"/>
        </w:rPr>
        <w:t>100</w:t>
      </w:r>
      <w:r>
        <w:rPr>
          <w:rFonts w:eastAsia="仿宋_GB2312"/>
          <w:sz w:val="32"/>
          <w:szCs w:val="32"/>
        </w:rPr>
        <w:t>%。</w:t>
      </w:r>
    </w:p>
    <w:p>
      <w:pPr>
        <w:spacing w:line="578" w:lineRule="exact"/>
        <w:ind w:firstLine="627" w:firstLineChars="196"/>
        <w:rPr>
          <w:rFonts w:eastAsia="黑体"/>
          <w:sz w:val="32"/>
          <w:szCs w:val="32"/>
        </w:rPr>
      </w:pPr>
      <w:r>
        <w:rPr>
          <w:rFonts w:eastAsia="黑体"/>
          <w:bCs/>
          <w:sz w:val="32"/>
          <w:szCs w:val="32"/>
        </w:rPr>
        <w:t>六、一般公共预算财政拨款基本支出决算情况说明</w:t>
      </w:r>
    </w:p>
    <w:p>
      <w:pPr>
        <w:tabs>
          <w:tab w:val="center" w:pos="4473"/>
        </w:tabs>
        <w:spacing w:line="578" w:lineRule="exact"/>
        <w:ind w:firstLine="640" w:firstLineChars="200"/>
        <w:rPr>
          <w:rFonts w:eastAsia="仿宋_GB2312"/>
          <w:sz w:val="32"/>
          <w:szCs w:val="32"/>
        </w:rPr>
      </w:pPr>
      <w:r>
        <w:rPr>
          <w:rFonts w:eastAsia="仿宋_GB2312"/>
          <w:sz w:val="32"/>
          <w:szCs w:val="32"/>
        </w:rPr>
        <w:t>2025年度财政拨款基本支出</w:t>
      </w:r>
      <w:r>
        <w:rPr>
          <w:rFonts w:eastAsia="仿宋_GB2312"/>
          <w:color w:val="FF0000"/>
          <w:sz w:val="32"/>
          <w:szCs w:val="32"/>
        </w:rPr>
        <w:t>181.10</w:t>
      </w:r>
      <w:r>
        <w:rPr>
          <w:rFonts w:eastAsia="仿宋_GB2312"/>
          <w:sz w:val="32"/>
          <w:szCs w:val="32"/>
        </w:rPr>
        <w:t>万元，其中：人员经费</w:t>
      </w:r>
      <w:r>
        <w:rPr>
          <w:rFonts w:eastAsia="仿宋_GB2312"/>
          <w:color w:val="FF0000"/>
          <w:sz w:val="32"/>
          <w:szCs w:val="32"/>
        </w:rPr>
        <w:t>172.89</w:t>
      </w:r>
      <w:r>
        <w:rPr>
          <w:rFonts w:eastAsia="仿宋_GB2312"/>
          <w:sz w:val="32"/>
          <w:szCs w:val="32"/>
        </w:rPr>
        <w:t>万元，主要包括：工资福利支出中的基本工资、津贴补贴、奖金、机关事业单位基本养老保险缴费、职业年金缴费、职工基本医疗保险缴费、公务员医疗补助缴费、其他社会保障缴费、住房公积金、医疗费、其他工资福利支出。公用经费</w:t>
      </w:r>
      <w:r>
        <w:rPr>
          <w:rFonts w:eastAsia="仿宋_GB2312"/>
          <w:color w:val="FF0000"/>
          <w:sz w:val="32"/>
          <w:szCs w:val="32"/>
        </w:rPr>
        <w:t>8.22</w:t>
      </w:r>
      <w:r>
        <w:rPr>
          <w:rFonts w:eastAsia="仿宋_GB2312"/>
          <w:sz w:val="32"/>
          <w:szCs w:val="32"/>
        </w:rPr>
        <w:t>万元，主要包括：商品和服务支出中的办公费、印刷费、邮电费、取暖费、差旅费、因公出国（境）费用、维修（护）费、会议费、培训费、劳务费、工会经费、公务用车运行维护费、其他商品和服务支出。</w:t>
      </w:r>
    </w:p>
    <w:p>
      <w:pPr>
        <w:tabs>
          <w:tab w:val="center" w:pos="4473"/>
        </w:tabs>
        <w:spacing w:line="578" w:lineRule="exact"/>
        <w:ind w:firstLine="627" w:firstLineChars="196"/>
        <w:rPr>
          <w:rFonts w:eastAsia="黑体"/>
          <w:bCs/>
          <w:sz w:val="32"/>
          <w:szCs w:val="32"/>
        </w:rPr>
      </w:pPr>
      <w:r>
        <w:rPr>
          <w:rFonts w:eastAsia="黑体"/>
          <w:bCs/>
          <w:sz w:val="32"/>
          <w:szCs w:val="32"/>
        </w:rPr>
        <w:t>七、政府性基金预算财政拨款支出决算情况说明</w:t>
      </w:r>
    </w:p>
    <w:p>
      <w:pPr>
        <w:spacing w:line="578" w:lineRule="exact"/>
        <w:ind w:firstLine="640" w:firstLineChars="200"/>
        <w:rPr>
          <w:rFonts w:eastAsia="楷体"/>
          <w:sz w:val="32"/>
          <w:szCs w:val="32"/>
        </w:rPr>
      </w:pPr>
      <w:r>
        <w:rPr>
          <w:rFonts w:eastAsia="楷体"/>
          <w:sz w:val="32"/>
          <w:szCs w:val="32"/>
        </w:rPr>
        <w:t>（一）政府性基金预算财政拨款支出决算总体情况</w:t>
      </w:r>
    </w:p>
    <w:p>
      <w:pPr>
        <w:spacing w:line="578" w:lineRule="exact"/>
        <w:ind w:firstLine="640" w:firstLineChars="200"/>
        <w:rPr>
          <w:rFonts w:eastAsia="仿宋_GB2312"/>
          <w:sz w:val="32"/>
          <w:szCs w:val="32"/>
        </w:rPr>
      </w:pPr>
      <w:r>
        <w:rPr>
          <w:rFonts w:eastAsia="仿宋_GB2312"/>
          <w:sz w:val="32"/>
          <w:szCs w:val="32"/>
        </w:rPr>
        <w:t>2025年度政府性基金预算财政拨款支出</w:t>
      </w:r>
      <w:r>
        <w:rPr>
          <w:rFonts w:eastAsia="仿宋_GB2312"/>
          <w:color w:val="FF0000"/>
          <w:sz w:val="32"/>
          <w:szCs w:val="32"/>
        </w:rPr>
        <w:t>0.00</w:t>
      </w:r>
      <w:r>
        <w:rPr>
          <w:rFonts w:eastAsia="仿宋_GB2312"/>
          <w:sz w:val="32"/>
          <w:szCs w:val="32"/>
        </w:rPr>
        <w:t>万元。与2024年度相比，政府性基金预算财政拨款支出增加（减少）</w:t>
      </w:r>
      <w:r>
        <w:rPr>
          <w:rFonts w:eastAsia="仿宋_GB2312"/>
          <w:color w:val="FF0000"/>
          <w:sz w:val="32"/>
          <w:szCs w:val="32"/>
        </w:rPr>
        <w:t>0</w:t>
      </w:r>
      <w:r>
        <w:rPr>
          <w:rFonts w:eastAsia="仿宋_GB2312"/>
          <w:sz w:val="32"/>
          <w:szCs w:val="32"/>
        </w:rPr>
        <w:t>万元，。</w:t>
      </w:r>
    </w:p>
    <w:p>
      <w:pPr>
        <w:spacing w:line="578" w:lineRule="exact"/>
        <w:ind w:firstLine="640" w:firstLineChars="200"/>
        <w:rPr>
          <w:rFonts w:eastAsia="楷体"/>
          <w:sz w:val="32"/>
          <w:szCs w:val="32"/>
        </w:rPr>
      </w:pPr>
      <w:r>
        <w:rPr>
          <w:rFonts w:eastAsia="楷体"/>
          <w:sz w:val="32"/>
          <w:szCs w:val="32"/>
        </w:rPr>
        <w:t>（二）政府性基金预算财政拨款支出决算结构情况</w:t>
      </w:r>
    </w:p>
    <w:p>
      <w:pPr>
        <w:spacing w:line="578" w:lineRule="exact"/>
        <w:ind w:firstLine="640" w:firstLineChars="200"/>
        <w:rPr>
          <w:rFonts w:eastAsia="仿宋_GB2312"/>
          <w:sz w:val="32"/>
          <w:szCs w:val="32"/>
        </w:rPr>
      </w:pPr>
      <w:r>
        <w:rPr>
          <w:rFonts w:eastAsia="仿宋_GB2312"/>
          <w:sz w:val="32"/>
          <w:szCs w:val="32"/>
        </w:rPr>
        <w:t>2025年度政府性基金预算财政拨款支出</w:t>
      </w:r>
      <w:r>
        <w:rPr>
          <w:rFonts w:eastAsia="仿宋_GB2312"/>
          <w:color w:val="FF0000"/>
          <w:sz w:val="32"/>
          <w:szCs w:val="32"/>
        </w:rPr>
        <w:t>0.00</w:t>
      </w:r>
      <w:r>
        <w:rPr>
          <w:rFonts w:eastAsia="仿宋_GB2312"/>
          <w:sz w:val="32"/>
          <w:szCs w:val="32"/>
        </w:rPr>
        <w:t>万元，。</w:t>
      </w:r>
    </w:p>
    <w:p>
      <w:pPr>
        <w:spacing w:line="578" w:lineRule="exact"/>
        <w:ind w:firstLine="640" w:firstLineChars="200"/>
        <w:rPr>
          <w:rFonts w:eastAsia="楷体"/>
          <w:sz w:val="32"/>
          <w:szCs w:val="32"/>
        </w:rPr>
      </w:pPr>
      <w:r>
        <w:rPr>
          <w:rFonts w:eastAsia="楷体"/>
          <w:sz w:val="32"/>
          <w:szCs w:val="32"/>
        </w:rPr>
        <w:t>（三）政府性基金预算财政拨款支出决算具体情况</w:t>
      </w:r>
    </w:p>
    <w:p>
      <w:pPr>
        <w:spacing w:line="578" w:lineRule="exact"/>
        <w:ind w:firstLine="640" w:firstLineChars="200"/>
        <w:rPr>
          <w:rFonts w:eastAsia="仿宋_GB2312"/>
          <w:sz w:val="32"/>
          <w:szCs w:val="32"/>
        </w:rPr>
      </w:pPr>
      <w:r>
        <w:rPr>
          <w:rFonts w:eastAsia="仿宋_GB2312"/>
          <w:sz w:val="32"/>
          <w:szCs w:val="32"/>
        </w:rPr>
        <w:t>2025年度政府性基金预算财政拨款支出年初预算为</w:t>
      </w:r>
      <w:r>
        <w:rPr>
          <w:rFonts w:eastAsia="仿宋_GB2312"/>
          <w:color w:val="FF0000"/>
          <w:sz w:val="32"/>
          <w:szCs w:val="32"/>
        </w:rPr>
        <w:t>0</w:t>
      </w:r>
      <w:r>
        <w:rPr>
          <w:rFonts w:eastAsia="仿宋_GB2312"/>
          <w:sz w:val="32"/>
          <w:szCs w:val="32"/>
        </w:rPr>
        <w:t>万元，支出决算为</w:t>
      </w:r>
      <w:r>
        <w:rPr>
          <w:rFonts w:eastAsia="仿宋_GB2312"/>
          <w:color w:val="FF0000"/>
          <w:sz w:val="32"/>
          <w:szCs w:val="32"/>
        </w:rPr>
        <w:t>0.00</w:t>
      </w:r>
      <w:r>
        <w:rPr>
          <w:rFonts w:eastAsia="仿宋_GB2312"/>
          <w:sz w:val="32"/>
          <w:szCs w:val="32"/>
        </w:rPr>
        <w:t>万元。</w:t>
      </w:r>
    </w:p>
    <w:p>
      <w:pPr>
        <w:tabs>
          <w:tab w:val="center" w:pos="4473"/>
        </w:tabs>
        <w:spacing w:line="578" w:lineRule="exact"/>
        <w:ind w:firstLine="627" w:firstLineChars="196"/>
        <w:rPr>
          <w:rFonts w:eastAsia="黑体"/>
          <w:bCs/>
          <w:sz w:val="32"/>
          <w:szCs w:val="32"/>
        </w:rPr>
      </w:pPr>
      <w:r>
        <w:rPr>
          <w:rFonts w:eastAsia="黑体"/>
          <w:bCs/>
          <w:sz w:val="32"/>
          <w:szCs w:val="32"/>
        </w:rPr>
        <w:t>八、国有资本经营预算财政拨款支出决算情况说明</w:t>
      </w:r>
    </w:p>
    <w:p>
      <w:pPr>
        <w:spacing w:line="578" w:lineRule="exact"/>
        <w:ind w:firstLine="640" w:firstLineChars="200"/>
        <w:rPr>
          <w:rFonts w:eastAsia="楷体"/>
          <w:sz w:val="32"/>
          <w:szCs w:val="32"/>
        </w:rPr>
      </w:pPr>
      <w:r>
        <w:rPr>
          <w:rFonts w:eastAsia="楷体"/>
          <w:sz w:val="32"/>
          <w:szCs w:val="32"/>
        </w:rPr>
        <w:t>（一）国有资本经营预算财政拨款支出决算总体情况</w:t>
      </w:r>
    </w:p>
    <w:p>
      <w:pPr>
        <w:spacing w:line="578" w:lineRule="exact"/>
        <w:ind w:firstLine="640" w:firstLineChars="200"/>
        <w:rPr>
          <w:rFonts w:eastAsia="仿宋_GB2312"/>
          <w:sz w:val="32"/>
          <w:szCs w:val="32"/>
        </w:rPr>
      </w:pPr>
      <w:r>
        <w:rPr>
          <w:rFonts w:eastAsia="仿宋_GB2312"/>
          <w:sz w:val="32"/>
          <w:szCs w:val="32"/>
        </w:rPr>
        <w:t>2025年度国有资本经营预算财政拨款支出</w:t>
      </w:r>
      <w:r>
        <w:rPr>
          <w:rFonts w:eastAsia="仿宋_GB2312"/>
          <w:color w:val="FF0000"/>
          <w:sz w:val="32"/>
          <w:szCs w:val="32"/>
        </w:rPr>
        <w:t>0.00</w:t>
      </w:r>
      <w:r>
        <w:rPr>
          <w:rFonts w:eastAsia="仿宋_GB2312"/>
          <w:sz w:val="32"/>
          <w:szCs w:val="32"/>
        </w:rPr>
        <w:t>万元，与2024年度相比，国有资本经营预算财政拨款支出增加（减少）</w:t>
      </w:r>
      <w:r>
        <w:rPr>
          <w:rFonts w:eastAsia="仿宋_GB2312"/>
          <w:color w:val="FF0000"/>
          <w:sz w:val="32"/>
          <w:szCs w:val="32"/>
        </w:rPr>
        <w:t>0</w:t>
      </w:r>
      <w:r>
        <w:rPr>
          <w:rFonts w:eastAsia="仿宋_GB2312"/>
          <w:sz w:val="32"/>
          <w:szCs w:val="32"/>
        </w:rPr>
        <w:t>万元。</w:t>
      </w:r>
    </w:p>
    <w:p>
      <w:pPr>
        <w:spacing w:line="578" w:lineRule="exact"/>
        <w:ind w:firstLine="640" w:firstLineChars="200"/>
        <w:rPr>
          <w:rFonts w:eastAsia="楷体"/>
          <w:sz w:val="32"/>
          <w:szCs w:val="32"/>
        </w:rPr>
      </w:pPr>
      <w:r>
        <w:rPr>
          <w:rFonts w:eastAsia="楷体"/>
          <w:sz w:val="32"/>
          <w:szCs w:val="32"/>
        </w:rPr>
        <w:t>（二）国有资本经营预算财政拨款支出决算结构情况</w:t>
      </w:r>
    </w:p>
    <w:p>
      <w:pPr>
        <w:spacing w:line="578" w:lineRule="exact"/>
        <w:ind w:firstLine="640" w:firstLineChars="200"/>
        <w:rPr>
          <w:rFonts w:eastAsia="仿宋_GB2312"/>
          <w:sz w:val="32"/>
          <w:szCs w:val="32"/>
        </w:rPr>
      </w:pPr>
      <w:r>
        <w:rPr>
          <w:rFonts w:eastAsia="仿宋_GB2312"/>
          <w:sz w:val="32"/>
          <w:szCs w:val="32"/>
        </w:rPr>
        <w:t>2025年度国有资本经营预算财政拨款支出</w:t>
      </w:r>
      <w:r>
        <w:rPr>
          <w:rFonts w:eastAsia="仿宋_GB2312"/>
          <w:color w:val="FF0000"/>
          <w:sz w:val="32"/>
          <w:szCs w:val="32"/>
        </w:rPr>
        <w:t>0.00</w:t>
      </w:r>
      <w:r>
        <w:rPr>
          <w:rFonts w:eastAsia="仿宋_GB2312"/>
          <w:sz w:val="32"/>
          <w:szCs w:val="32"/>
        </w:rPr>
        <w:t>万元。</w:t>
      </w:r>
    </w:p>
    <w:p>
      <w:pPr>
        <w:spacing w:line="578" w:lineRule="exact"/>
        <w:ind w:firstLine="640" w:firstLineChars="200"/>
        <w:rPr>
          <w:rFonts w:eastAsia="楷体"/>
          <w:sz w:val="32"/>
          <w:szCs w:val="32"/>
        </w:rPr>
      </w:pPr>
      <w:r>
        <w:rPr>
          <w:rFonts w:eastAsia="楷体"/>
          <w:sz w:val="32"/>
          <w:szCs w:val="32"/>
        </w:rPr>
        <w:t>（三）国有资本经营预算财政拨款支出决算具体情况</w:t>
      </w:r>
    </w:p>
    <w:p>
      <w:pPr>
        <w:spacing w:line="578" w:lineRule="exact"/>
        <w:ind w:firstLine="640" w:firstLineChars="200"/>
        <w:rPr>
          <w:rFonts w:eastAsia="仿宋_GB2312"/>
          <w:sz w:val="32"/>
          <w:szCs w:val="32"/>
        </w:rPr>
      </w:pPr>
      <w:r>
        <w:rPr>
          <w:rFonts w:eastAsia="仿宋_GB2312"/>
          <w:sz w:val="32"/>
          <w:szCs w:val="32"/>
        </w:rPr>
        <w:t>2025年度国有资本经营预算财政拨款支出年初预算为</w:t>
      </w:r>
      <w:r>
        <w:rPr>
          <w:rFonts w:eastAsia="仿宋_GB2312"/>
          <w:color w:val="FF0000"/>
          <w:sz w:val="32"/>
          <w:szCs w:val="32"/>
        </w:rPr>
        <w:t>0</w:t>
      </w:r>
      <w:r>
        <w:rPr>
          <w:rFonts w:eastAsia="仿宋_GB2312"/>
          <w:sz w:val="32"/>
          <w:szCs w:val="32"/>
        </w:rPr>
        <w:t>万元。</w:t>
      </w:r>
    </w:p>
    <w:p>
      <w:pPr>
        <w:spacing w:line="578" w:lineRule="exact"/>
        <w:ind w:firstLine="627" w:firstLineChars="196"/>
        <w:rPr>
          <w:rFonts w:eastAsia="楷体_GB2312"/>
          <w:sz w:val="32"/>
          <w:szCs w:val="32"/>
        </w:rPr>
      </w:pPr>
      <w:r>
        <w:rPr>
          <w:rFonts w:eastAsia="黑体"/>
          <w:bCs/>
          <w:sz w:val="32"/>
          <w:szCs w:val="32"/>
        </w:rPr>
        <w:t>九、财政拨款“三公”经费支出决算情况说明</w:t>
      </w:r>
    </w:p>
    <w:p>
      <w:pPr>
        <w:spacing w:line="578" w:lineRule="exact"/>
        <w:ind w:firstLine="640" w:firstLineChars="200"/>
        <w:rPr>
          <w:rFonts w:eastAsia="楷体"/>
          <w:bCs/>
          <w:sz w:val="32"/>
          <w:szCs w:val="32"/>
        </w:rPr>
      </w:pPr>
      <w:r>
        <w:rPr>
          <w:rFonts w:eastAsia="楷体"/>
          <w:bCs/>
          <w:sz w:val="32"/>
          <w:szCs w:val="32"/>
        </w:rPr>
        <w:t>（一）财政拨款“三公”经费支出决算总体情况说明</w:t>
      </w:r>
    </w:p>
    <w:p>
      <w:pPr>
        <w:spacing w:line="578" w:lineRule="exact"/>
        <w:rPr>
          <w:rFonts w:eastAsia="仿宋_GB2312"/>
          <w:sz w:val="32"/>
          <w:szCs w:val="32"/>
        </w:rPr>
      </w:pPr>
      <w:r>
        <w:rPr>
          <w:rFonts w:eastAsia="仿宋_GB2312"/>
          <w:sz w:val="32"/>
          <w:szCs w:val="32"/>
        </w:rPr>
        <w:t xml:space="preserve">    2025年度财政拨款“三公”经费支出预算为</w:t>
      </w:r>
      <w:r>
        <w:rPr>
          <w:rFonts w:eastAsia="仿宋_GB2312"/>
          <w:color w:val="FF0000"/>
          <w:sz w:val="32"/>
          <w:szCs w:val="32"/>
        </w:rPr>
        <w:t>2.19</w:t>
      </w:r>
      <w:r>
        <w:rPr>
          <w:rFonts w:eastAsia="仿宋_GB2312"/>
          <w:sz w:val="32"/>
          <w:szCs w:val="32"/>
        </w:rPr>
        <w:t>万元，支出决算为</w:t>
      </w:r>
      <w:r>
        <w:rPr>
          <w:rFonts w:eastAsia="仿宋_GB2312"/>
          <w:color w:val="FF0000"/>
          <w:sz w:val="32"/>
          <w:szCs w:val="32"/>
        </w:rPr>
        <w:t>2.19</w:t>
      </w:r>
      <w:r>
        <w:rPr>
          <w:rFonts w:eastAsia="仿宋_GB2312"/>
          <w:sz w:val="32"/>
          <w:szCs w:val="32"/>
        </w:rPr>
        <w:t>万元，完成预算的</w:t>
      </w:r>
      <w:r>
        <w:rPr>
          <w:rFonts w:eastAsia="仿宋_GB2312"/>
          <w:color w:val="FF0000"/>
          <w:sz w:val="32"/>
          <w:szCs w:val="32"/>
        </w:rPr>
        <w:t>100</w:t>
      </w:r>
      <w:r>
        <w:rPr>
          <w:rFonts w:eastAsia="仿宋_GB2312"/>
          <w:sz w:val="32"/>
          <w:szCs w:val="32"/>
        </w:rPr>
        <w:t>%，与2024年度相比，“三公”经费支出减少</w:t>
      </w:r>
      <w:r>
        <w:rPr>
          <w:rFonts w:eastAsia="仿宋_GB2312"/>
          <w:color w:val="FF0000"/>
          <w:sz w:val="32"/>
          <w:szCs w:val="32"/>
        </w:rPr>
        <w:t>0.49</w:t>
      </w:r>
      <w:r>
        <w:rPr>
          <w:rFonts w:eastAsia="仿宋_GB2312"/>
          <w:sz w:val="32"/>
          <w:szCs w:val="32"/>
        </w:rPr>
        <w:t>万元，下降18.42%，主要原因是2024年比如县市场监督管理局按照6人进行预算，2025年按照4人进行预算，导致公车运行维护费差距较大。</w:t>
      </w:r>
    </w:p>
    <w:p>
      <w:pPr>
        <w:spacing w:line="578" w:lineRule="exact"/>
        <w:rPr>
          <w:rFonts w:eastAsia="楷体"/>
          <w:sz w:val="32"/>
          <w:szCs w:val="32"/>
        </w:rPr>
      </w:pPr>
      <w:r>
        <w:rPr>
          <w:rFonts w:eastAsia="楷体"/>
          <w:sz w:val="32"/>
          <w:szCs w:val="32"/>
        </w:rPr>
        <w:t>（二）财政拨款“三公”经费支出决算具体情况说明</w:t>
      </w:r>
    </w:p>
    <w:p>
      <w:pPr>
        <w:spacing w:line="578" w:lineRule="exact"/>
        <w:ind w:firstLine="640" w:firstLineChars="200"/>
        <w:rPr>
          <w:rFonts w:eastAsia="仿宋_GB2312"/>
          <w:sz w:val="32"/>
          <w:szCs w:val="32"/>
        </w:rPr>
      </w:pPr>
      <w:r>
        <w:rPr>
          <w:rFonts w:eastAsia="仿宋_GB2312"/>
          <w:sz w:val="32"/>
          <w:szCs w:val="32"/>
        </w:rPr>
        <w:t>2024年度财政拨款“三公”经费支出决算中，因公出国（境）费支出决算</w:t>
      </w:r>
      <w:r>
        <w:rPr>
          <w:rFonts w:eastAsia="仿宋_GB2312"/>
          <w:color w:val="FF0000"/>
          <w:sz w:val="32"/>
          <w:szCs w:val="32"/>
        </w:rPr>
        <w:t>0.00</w:t>
      </w:r>
      <w:r>
        <w:rPr>
          <w:rFonts w:eastAsia="仿宋_GB2312"/>
          <w:sz w:val="32"/>
          <w:szCs w:val="32"/>
        </w:rPr>
        <w:t>万元；公务用车购置及运行维护费支出决算</w:t>
      </w:r>
      <w:r>
        <w:rPr>
          <w:rFonts w:eastAsia="仿宋_GB2312"/>
          <w:color w:val="FF0000"/>
          <w:sz w:val="32"/>
          <w:szCs w:val="32"/>
        </w:rPr>
        <w:t>2.19</w:t>
      </w:r>
      <w:r>
        <w:rPr>
          <w:rFonts w:eastAsia="仿宋_GB2312"/>
          <w:sz w:val="32"/>
          <w:szCs w:val="32"/>
        </w:rPr>
        <w:t>万元，占</w:t>
      </w:r>
      <w:r>
        <w:rPr>
          <w:rFonts w:eastAsia="仿宋_GB2312"/>
          <w:color w:val="FF0000"/>
          <w:sz w:val="32"/>
          <w:szCs w:val="32"/>
        </w:rPr>
        <w:t>100</w:t>
      </w:r>
      <w:r>
        <w:rPr>
          <w:rFonts w:eastAsia="仿宋_GB2312"/>
          <w:sz w:val="32"/>
          <w:szCs w:val="32"/>
        </w:rPr>
        <w:t>%；公务接待费支出决算</w:t>
      </w:r>
      <w:r>
        <w:rPr>
          <w:rFonts w:eastAsia="仿宋_GB2312"/>
          <w:color w:val="FF0000"/>
          <w:sz w:val="32"/>
          <w:szCs w:val="32"/>
        </w:rPr>
        <w:t>0.00</w:t>
      </w:r>
      <w:r>
        <w:rPr>
          <w:rFonts w:eastAsia="仿宋_GB2312"/>
          <w:sz w:val="32"/>
          <w:szCs w:val="32"/>
        </w:rPr>
        <w:t>万元。具体情况如下：</w:t>
      </w:r>
    </w:p>
    <w:p>
      <w:pPr>
        <w:spacing w:line="578" w:lineRule="exact"/>
        <w:ind w:firstLine="643" w:firstLineChars="200"/>
        <w:rPr>
          <w:rFonts w:eastAsia="仿宋_GB2312"/>
          <w:sz w:val="32"/>
          <w:szCs w:val="32"/>
        </w:rPr>
      </w:pPr>
      <w:r>
        <w:rPr>
          <w:rFonts w:eastAsia="仿宋_GB2312"/>
          <w:b/>
          <w:sz w:val="32"/>
          <w:szCs w:val="32"/>
        </w:rPr>
        <w:t>1.因公出国（境）费</w:t>
      </w:r>
      <w:r>
        <w:rPr>
          <w:rFonts w:eastAsia="仿宋_GB2312"/>
          <w:sz w:val="32"/>
          <w:szCs w:val="32"/>
        </w:rPr>
        <w:t>支出</w:t>
      </w:r>
      <w:r>
        <w:rPr>
          <w:rFonts w:eastAsia="仿宋_GB2312"/>
          <w:color w:val="FF0000"/>
          <w:sz w:val="32"/>
          <w:szCs w:val="32"/>
        </w:rPr>
        <w:t>0.00</w:t>
      </w:r>
      <w:r>
        <w:rPr>
          <w:rFonts w:eastAsia="仿宋_GB2312"/>
          <w:sz w:val="32"/>
          <w:szCs w:val="32"/>
        </w:rPr>
        <w:t>万元</w:t>
      </w:r>
    </w:p>
    <w:p>
      <w:pPr>
        <w:spacing w:line="578" w:lineRule="exact"/>
        <w:rPr>
          <w:rFonts w:eastAsia="仿宋_GB2312"/>
          <w:sz w:val="32"/>
          <w:szCs w:val="32"/>
        </w:rPr>
      </w:pPr>
      <w:r>
        <w:rPr>
          <w:rFonts w:eastAsia="仿宋_GB2312"/>
          <w:b/>
          <w:sz w:val="32"/>
          <w:szCs w:val="32"/>
        </w:rPr>
        <w:t xml:space="preserve">    2.公务用车购置及运行维护费</w:t>
      </w:r>
      <w:r>
        <w:rPr>
          <w:rFonts w:eastAsia="仿宋_GB2312"/>
          <w:bCs/>
          <w:sz w:val="32"/>
          <w:szCs w:val="32"/>
        </w:rPr>
        <w:t>支出</w:t>
      </w:r>
      <w:r>
        <w:rPr>
          <w:rFonts w:eastAsia="仿宋_GB2312"/>
          <w:color w:val="FF0000"/>
          <w:sz w:val="32"/>
          <w:szCs w:val="32"/>
        </w:rPr>
        <w:t>2.19</w:t>
      </w:r>
      <w:r>
        <w:rPr>
          <w:rFonts w:eastAsia="仿宋_GB2312"/>
          <w:sz w:val="32"/>
          <w:szCs w:val="32"/>
        </w:rPr>
        <w:t>万元。其中：</w:t>
      </w:r>
    </w:p>
    <w:p>
      <w:pPr>
        <w:spacing w:line="578" w:lineRule="exact"/>
        <w:ind w:firstLine="643" w:firstLineChars="200"/>
        <w:rPr>
          <w:rFonts w:eastAsia="仿宋_GB2312"/>
          <w:sz w:val="32"/>
          <w:szCs w:val="32"/>
        </w:rPr>
      </w:pPr>
      <w:r>
        <w:rPr>
          <w:rFonts w:eastAsia="仿宋_GB2312"/>
          <w:b/>
          <w:sz w:val="32"/>
          <w:szCs w:val="32"/>
        </w:rPr>
        <w:t>公务用车购置</w:t>
      </w:r>
      <w:r>
        <w:rPr>
          <w:rFonts w:eastAsia="仿宋_GB2312"/>
          <w:bCs/>
          <w:sz w:val="32"/>
          <w:szCs w:val="32"/>
        </w:rPr>
        <w:t>支出</w:t>
      </w:r>
      <w:r>
        <w:rPr>
          <w:rFonts w:eastAsia="仿宋_GB2312"/>
          <w:color w:val="FF0000"/>
          <w:sz w:val="32"/>
          <w:szCs w:val="32"/>
        </w:rPr>
        <w:t>0.00</w:t>
      </w:r>
      <w:r>
        <w:rPr>
          <w:rFonts w:eastAsia="仿宋_GB2312"/>
          <w:sz w:val="32"/>
          <w:szCs w:val="32"/>
        </w:rPr>
        <w:t>万元，全年购置公务用车</w:t>
      </w:r>
      <w:r>
        <w:rPr>
          <w:rFonts w:eastAsia="仿宋_GB2312"/>
          <w:color w:val="FF0000"/>
          <w:sz w:val="32"/>
          <w:szCs w:val="32"/>
        </w:rPr>
        <w:t>0</w:t>
      </w:r>
      <w:r>
        <w:rPr>
          <w:rFonts w:eastAsia="仿宋_GB2312"/>
          <w:sz w:val="32"/>
          <w:szCs w:val="32"/>
        </w:rPr>
        <w:t>辆，年末公务用车保有量</w:t>
      </w:r>
      <w:r>
        <w:rPr>
          <w:rFonts w:eastAsia="仿宋_GB2312"/>
          <w:color w:val="FF0000"/>
          <w:sz w:val="32"/>
          <w:szCs w:val="32"/>
        </w:rPr>
        <w:t>1</w:t>
      </w:r>
      <w:r>
        <w:rPr>
          <w:rFonts w:eastAsia="仿宋_GB2312"/>
          <w:sz w:val="32"/>
          <w:szCs w:val="32"/>
        </w:rPr>
        <w:t>辆。</w:t>
      </w:r>
    </w:p>
    <w:p>
      <w:pPr>
        <w:spacing w:line="578" w:lineRule="exact"/>
        <w:ind w:firstLine="643" w:firstLineChars="200"/>
        <w:rPr>
          <w:rFonts w:eastAsia="仿宋_GB2312"/>
          <w:sz w:val="32"/>
          <w:szCs w:val="32"/>
        </w:rPr>
      </w:pPr>
      <w:r>
        <w:rPr>
          <w:rFonts w:eastAsia="仿宋_GB2312"/>
          <w:b/>
          <w:sz w:val="32"/>
          <w:szCs w:val="32"/>
        </w:rPr>
        <w:t>公务用车运行维护费</w:t>
      </w:r>
      <w:r>
        <w:rPr>
          <w:rFonts w:eastAsia="仿宋_GB2312"/>
          <w:sz w:val="32"/>
          <w:szCs w:val="32"/>
        </w:rPr>
        <w:t>支出</w:t>
      </w:r>
      <w:r>
        <w:rPr>
          <w:rFonts w:eastAsia="仿宋_GB2312"/>
          <w:color w:val="FF0000"/>
          <w:sz w:val="32"/>
          <w:szCs w:val="32"/>
        </w:rPr>
        <w:t>2.19</w:t>
      </w:r>
      <w:r>
        <w:rPr>
          <w:rFonts w:eastAsia="仿宋_GB2312"/>
          <w:sz w:val="32"/>
          <w:szCs w:val="32"/>
        </w:rPr>
        <w:t>万元，主要用于一是按照市场监管职责在比如县辖区开展食品、药品、化妆品、医疗器械、特种设备以及产品质量的监督检查工作，同时用于处理消费者投诉举报现场核查处置问题产生的燃油费。二是用于车辆保险购买和车辆日常维修保养费用。</w:t>
      </w:r>
    </w:p>
    <w:p>
      <w:pPr>
        <w:spacing w:line="578" w:lineRule="exact"/>
        <w:ind w:firstLine="640" w:firstLineChars="200"/>
        <w:rPr>
          <w:rFonts w:eastAsia="仿宋_GB2312"/>
          <w:bCs/>
          <w:sz w:val="32"/>
          <w:szCs w:val="32"/>
        </w:rPr>
      </w:pPr>
      <w:r>
        <w:rPr>
          <w:rFonts w:eastAsia="仿宋_GB2312"/>
          <w:sz w:val="32"/>
          <w:szCs w:val="32"/>
        </w:rPr>
        <w:t>与2024年度相比，</w:t>
      </w:r>
      <w:r>
        <w:rPr>
          <w:rFonts w:eastAsia="仿宋_GB2312"/>
          <w:bCs/>
          <w:sz w:val="32"/>
          <w:szCs w:val="32"/>
        </w:rPr>
        <w:t>公务用车运行维护费</w:t>
      </w:r>
      <w:r>
        <w:rPr>
          <w:rFonts w:eastAsia="仿宋_GB2312"/>
          <w:sz w:val="32"/>
          <w:szCs w:val="32"/>
        </w:rPr>
        <w:t>支出减少</w:t>
      </w:r>
      <w:r>
        <w:rPr>
          <w:rFonts w:eastAsia="仿宋_GB2312"/>
          <w:color w:val="FF0000"/>
          <w:sz w:val="32"/>
          <w:szCs w:val="32"/>
        </w:rPr>
        <w:t>0.49</w:t>
      </w:r>
      <w:r>
        <w:rPr>
          <w:rFonts w:eastAsia="仿宋_GB2312"/>
          <w:sz w:val="32"/>
          <w:szCs w:val="32"/>
        </w:rPr>
        <w:t>万元，下降18.42%，主要原因是2024年比如县市场监督管理局按照6人进行预算，2025年按照4人进行预算，导致公车运行维护费差距较大。</w:t>
      </w:r>
    </w:p>
    <w:p>
      <w:pPr>
        <w:spacing w:line="578" w:lineRule="exact"/>
        <w:rPr>
          <w:rFonts w:eastAsia="仿宋_GB2312"/>
          <w:sz w:val="32"/>
          <w:szCs w:val="32"/>
        </w:rPr>
      </w:pPr>
      <w:r>
        <w:rPr>
          <w:rFonts w:eastAsia="仿宋_GB2312"/>
          <w:b/>
          <w:sz w:val="32"/>
          <w:szCs w:val="32"/>
        </w:rPr>
        <w:t xml:space="preserve">    3.公务接待费</w:t>
      </w:r>
      <w:r>
        <w:rPr>
          <w:rFonts w:eastAsia="仿宋_GB2312"/>
          <w:bCs/>
          <w:sz w:val="32"/>
          <w:szCs w:val="32"/>
        </w:rPr>
        <w:t>支出</w:t>
      </w:r>
      <w:r>
        <w:rPr>
          <w:rFonts w:eastAsia="仿宋_GB2312"/>
          <w:color w:val="FF0000"/>
          <w:sz w:val="32"/>
          <w:szCs w:val="32"/>
        </w:rPr>
        <w:t>0.00</w:t>
      </w:r>
      <w:r>
        <w:rPr>
          <w:rFonts w:eastAsia="仿宋_GB2312"/>
          <w:sz w:val="32"/>
          <w:szCs w:val="32"/>
        </w:rPr>
        <w:t>万元。</w:t>
      </w:r>
    </w:p>
    <w:p>
      <w:pPr>
        <w:spacing w:line="578" w:lineRule="exact"/>
        <w:ind w:firstLine="640" w:firstLineChars="200"/>
        <w:rPr>
          <w:rFonts w:eastAsia="黑体"/>
          <w:bCs/>
          <w:sz w:val="32"/>
          <w:szCs w:val="32"/>
        </w:rPr>
      </w:pPr>
      <w:r>
        <w:rPr>
          <w:rFonts w:eastAsia="黑体"/>
          <w:bCs/>
          <w:sz w:val="32"/>
          <w:szCs w:val="32"/>
        </w:rPr>
        <w:t>十、其他重要事项情况说明</w:t>
      </w:r>
    </w:p>
    <w:p>
      <w:pPr>
        <w:spacing w:line="578" w:lineRule="exact"/>
        <w:ind w:firstLine="640" w:firstLineChars="200"/>
        <w:rPr>
          <w:rFonts w:eastAsia="楷体"/>
          <w:bCs/>
          <w:sz w:val="32"/>
          <w:szCs w:val="32"/>
        </w:rPr>
      </w:pPr>
      <w:bookmarkStart w:id="94" w:name="_Toc15565_WPSOffice_Level2"/>
      <w:bookmarkStart w:id="95" w:name="_Toc32639_WPSOffice_Level2"/>
      <w:bookmarkStart w:id="96" w:name="_Toc23598_WPSOffice_Level2"/>
      <w:bookmarkStart w:id="97" w:name="_Toc18325_WPSOffice_Level2"/>
      <w:bookmarkStart w:id="98" w:name="_Toc15262_WPSOffice_Level2"/>
      <w:bookmarkStart w:id="99" w:name="_Toc5978_WPSOffice_Level2"/>
      <w:r>
        <w:rPr>
          <w:rFonts w:eastAsia="楷体"/>
          <w:bCs/>
          <w:sz w:val="32"/>
          <w:szCs w:val="32"/>
        </w:rPr>
        <w:t>（一）机关运行经费支出情况</w:t>
      </w:r>
      <w:bookmarkEnd w:id="94"/>
      <w:bookmarkEnd w:id="95"/>
      <w:bookmarkEnd w:id="96"/>
      <w:bookmarkEnd w:id="97"/>
      <w:bookmarkEnd w:id="98"/>
      <w:bookmarkEnd w:id="99"/>
    </w:p>
    <w:p>
      <w:pPr>
        <w:spacing w:line="578" w:lineRule="exact"/>
        <w:ind w:firstLine="640" w:firstLineChars="200"/>
        <w:rPr>
          <w:rFonts w:eastAsia="仿宋_GB2312"/>
          <w:sz w:val="32"/>
          <w:szCs w:val="32"/>
        </w:rPr>
      </w:pPr>
      <w:r>
        <w:rPr>
          <w:rFonts w:eastAsia="仿宋_GB2312"/>
          <w:sz w:val="32"/>
          <w:szCs w:val="32"/>
        </w:rPr>
        <w:t>2025年度</w:t>
      </w:r>
      <w:r>
        <w:rPr>
          <w:rFonts w:eastAsia="仿宋_GB2312"/>
          <w:color w:val="FF0000"/>
          <w:sz w:val="32"/>
          <w:szCs w:val="32"/>
        </w:rPr>
        <w:t>比如县市场监督管理局</w:t>
      </w:r>
      <w:r>
        <w:rPr>
          <w:rFonts w:eastAsia="仿宋_GB2312"/>
          <w:sz w:val="32"/>
          <w:szCs w:val="32"/>
        </w:rPr>
        <w:t>机关运行经费</w:t>
      </w:r>
      <w:r>
        <w:rPr>
          <w:rFonts w:eastAsia="仿宋_GB2312"/>
          <w:color w:val="FF0000"/>
          <w:sz w:val="32"/>
          <w:szCs w:val="32"/>
        </w:rPr>
        <w:t>8.22</w:t>
      </w:r>
      <w:r>
        <w:rPr>
          <w:rFonts w:eastAsia="仿宋_GB2312"/>
          <w:sz w:val="32"/>
          <w:szCs w:val="32"/>
        </w:rPr>
        <w:t>万元（为部门决算中行政单位和参公事业单位财政拨款基本支出中公用经费支出之和，事业单位没有机关运行经费支出），比年初预算增加0万元，完成预算的</w:t>
      </w:r>
      <w:r>
        <w:rPr>
          <w:rFonts w:eastAsia="仿宋_GB2312"/>
          <w:color w:val="FF0000"/>
          <w:sz w:val="32"/>
          <w:szCs w:val="32"/>
        </w:rPr>
        <w:t>100</w:t>
      </w:r>
      <w:r>
        <w:rPr>
          <w:rFonts w:eastAsia="仿宋_GB2312"/>
          <w:sz w:val="32"/>
          <w:szCs w:val="32"/>
        </w:rPr>
        <w:t>%；与2024年度相比，机关运行经费减少</w:t>
      </w:r>
      <w:r>
        <w:rPr>
          <w:rFonts w:eastAsia="仿宋_GB2312"/>
          <w:color w:val="FF0000"/>
          <w:sz w:val="32"/>
          <w:szCs w:val="32"/>
        </w:rPr>
        <w:t>1.13</w:t>
      </w:r>
      <w:r>
        <w:rPr>
          <w:rFonts w:eastAsia="仿宋_GB2312"/>
          <w:sz w:val="32"/>
          <w:szCs w:val="32"/>
        </w:rPr>
        <w:t>万元，下降</w:t>
      </w:r>
      <w:r>
        <w:rPr>
          <w:rFonts w:eastAsia="仿宋_GB2312"/>
          <w:color w:val="FF0000"/>
          <w:sz w:val="32"/>
          <w:szCs w:val="32"/>
        </w:rPr>
        <w:t>12.05</w:t>
      </w:r>
      <w:r>
        <w:rPr>
          <w:rFonts w:eastAsia="仿宋_GB2312"/>
          <w:sz w:val="32"/>
          <w:szCs w:val="32"/>
        </w:rPr>
        <w:t>%。主要原因是：人员编制数量减少，2024年比如县市场监督管理局按照6人进行预算，2025年按照4人进行预算，导致公用经费预算和支出减少。</w:t>
      </w:r>
    </w:p>
    <w:p>
      <w:pPr>
        <w:spacing w:line="578" w:lineRule="exact"/>
        <w:ind w:firstLine="640" w:firstLineChars="200"/>
        <w:rPr>
          <w:rFonts w:eastAsia="楷体"/>
          <w:bCs/>
          <w:sz w:val="32"/>
          <w:szCs w:val="32"/>
        </w:rPr>
      </w:pPr>
      <w:bookmarkStart w:id="100" w:name="_Toc3131_WPSOffice_Level2"/>
      <w:bookmarkStart w:id="101" w:name="_Toc32689_WPSOffice_Level2"/>
      <w:bookmarkStart w:id="102" w:name="_Toc23966_WPSOffice_Level2"/>
      <w:bookmarkStart w:id="103" w:name="_Toc13084_WPSOffice_Level2"/>
      <w:bookmarkStart w:id="104" w:name="_Toc25333_WPSOffice_Level2"/>
      <w:bookmarkStart w:id="105" w:name="_Toc30383_WPSOffice_Level2"/>
      <w:r>
        <w:rPr>
          <w:rFonts w:eastAsia="楷体"/>
          <w:bCs/>
          <w:sz w:val="32"/>
          <w:szCs w:val="32"/>
        </w:rPr>
        <w:t>（二）政府采购支出情况</w:t>
      </w:r>
      <w:bookmarkEnd w:id="100"/>
      <w:bookmarkEnd w:id="101"/>
      <w:bookmarkEnd w:id="102"/>
      <w:bookmarkEnd w:id="103"/>
      <w:bookmarkEnd w:id="104"/>
      <w:bookmarkEnd w:id="105"/>
    </w:p>
    <w:p>
      <w:pPr>
        <w:spacing w:line="578" w:lineRule="exact"/>
        <w:ind w:firstLine="640" w:firstLineChars="200"/>
        <w:jc w:val="left"/>
        <w:rPr>
          <w:rFonts w:eastAsia="仿宋_GB2312"/>
          <w:sz w:val="32"/>
          <w:szCs w:val="32"/>
        </w:rPr>
      </w:pPr>
      <w:r>
        <w:rPr>
          <w:rFonts w:eastAsia="仿宋_GB2312"/>
          <w:sz w:val="32"/>
          <w:szCs w:val="32"/>
        </w:rPr>
        <w:t>2025年度</w:t>
      </w:r>
      <w:r>
        <w:rPr>
          <w:rFonts w:eastAsia="仿宋_GB2312"/>
          <w:color w:val="FF0000"/>
          <w:sz w:val="32"/>
          <w:szCs w:val="32"/>
        </w:rPr>
        <w:t>比如县市场监督管理局</w:t>
      </w:r>
      <w:r>
        <w:rPr>
          <w:rFonts w:eastAsia="仿宋_GB2312"/>
          <w:sz w:val="32"/>
          <w:szCs w:val="32"/>
        </w:rPr>
        <w:t>政府采购支出总额</w:t>
      </w:r>
      <w:r>
        <w:rPr>
          <w:rFonts w:eastAsia="仿宋_GB2312"/>
          <w:color w:val="FF0000"/>
          <w:sz w:val="32"/>
          <w:szCs w:val="32"/>
        </w:rPr>
        <w:t>0</w:t>
      </w:r>
      <w:r>
        <w:rPr>
          <w:rFonts w:eastAsia="仿宋_GB2312"/>
          <w:sz w:val="32"/>
          <w:szCs w:val="32"/>
        </w:rPr>
        <w:t>万元。</w:t>
      </w:r>
    </w:p>
    <w:p>
      <w:pPr>
        <w:spacing w:line="578" w:lineRule="exact"/>
        <w:ind w:firstLine="640" w:firstLineChars="200"/>
        <w:rPr>
          <w:rFonts w:eastAsia="楷体"/>
          <w:bCs/>
          <w:sz w:val="32"/>
          <w:szCs w:val="32"/>
        </w:rPr>
      </w:pPr>
      <w:bookmarkStart w:id="106" w:name="_Toc10902_WPSOffice_Level2"/>
      <w:bookmarkStart w:id="107" w:name="_Toc29584_WPSOffice_Level2"/>
      <w:bookmarkStart w:id="108" w:name="_Toc15129_WPSOffice_Level2"/>
      <w:bookmarkStart w:id="109" w:name="_Toc6016_WPSOffice_Level2"/>
      <w:bookmarkStart w:id="110" w:name="_Toc19989_WPSOffice_Level2"/>
      <w:bookmarkStart w:id="111" w:name="_Toc527_WPSOffice_Level2"/>
      <w:r>
        <w:rPr>
          <w:rFonts w:eastAsia="楷体"/>
          <w:bCs/>
          <w:sz w:val="32"/>
          <w:szCs w:val="32"/>
        </w:rPr>
        <w:t>（三）国有资产占用情况</w:t>
      </w:r>
      <w:bookmarkEnd w:id="106"/>
      <w:bookmarkEnd w:id="107"/>
      <w:bookmarkEnd w:id="108"/>
      <w:bookmarkEnd w:id="109"/>
      <w:bookmarkEnd w:id="110"/>
      <w:bookmarkEnd w:id="111"/>
    </w:p>
    <w:p>
      <w:pPr>
        <w:spacing w:line="578" w:lineRule="exact"/>
        <w:ind w:firstLine="640" w:firstLineChars="200"/>
        <w:rPr>
          <w:rFonts w:eastAsia="仿宋_GB2312"/>
          <w:sz w:val="32"/>
          <w:szCs w:val="32"/>
        </w:rPr>
      </w:pPr>
      <w:r>
        <w:rPr>
          <w:rFonts w:eastAsia="仿宋_GB2312"/>
          <w:bCs/>
          <w:sz w:val="32"/>
          <w:szCs w:val="32"/>
        </w:rPr>
        <w:t>截至2025年12月31日，本部门使用房产为县政府分配所有</w:t>
      </w:r>
      <w:r>
        <w:rPr>
          <w:rFonts w:eastAsia="仿宋_GB2312"/>
          <w:sz w:val="32"/>
          <w:szCs w:val="32"/>
        </w:rPr>
        <w:t>。</w:t>
      </w:r>
    </w:p>
    <w:p>
      <w:pPr>
        <w:spacing w:line="578" w:lineRule="exact"/>
        <w:ind w:firstLine="640" w:firstLineChars="200"/>
        <w:rPr>
          <w:rFonts w:eastAsia="仿宋_GB2312"/>
          <w:sz w:val="32"/>
          <w:szCs w:val="32"/>
        </w:rPr>
      </w:pPr>
      <w:r>
        <w:rPr>
          <w:rFonts w:eastAsia="仿宋_GB2312"/>
          <w:sz w:val="32"/>
          <w:szCs w:val="32"/>
        </w:rPr>
        <w:t>本部门共有车辆</w:t>
      </w:r>
      <w:r>
        <w:rPr>
          <w:rFonts w:eastAsia="仿宋_GB2312"/>
          <w:color w:val="FF0000"/>
          <w:sz w:val="32"/>
          <w:szCs w:val="32"/>
        </w:rPr>
        <w:t>1</w:t>
      </w:r>
      <w:r>
        <w:rPr>
          <w:rFonts w:eastAsia="仿宋_GB2312"/>
          <w:sz w:val="32"/>
          <w:szCs w:val="32"/>
        </w:rPr>
        <w:t>辆，主要用于监督检查执法使用。</w:t>
      </w:r>
    </w:p>
    <w:p>
      <w:pPr>
        <w:spacing w:line="578" w:lineRule="exact"/>
        <w:jc w:val="center"/>
        <w:rPr>
          <w:rFonts w:eastAsia="黑体"/>
          <w:sz w:val="32"/>
          <w:szCs w:val="32"/>
        </w:rPr>
      </w:pPr>
      <w:bookmarkStart w:id="112" w:name="_Toc8808_WPSOffice_Level1"/>
      <w:bookmarkStart w:id="113" w:name="_Toc4398_WPSOffice_Level1"/>
      <w:bookmarkStart w:id="114" w:name="_Toc15425_WPSOffice_Level1"/>
      <w:bookmarkStart w:id="115" w:name="_Toc11039_WPSOffice_Level1"/>
      <w:bookmarkStart w:id="116" w:name="_Toc8874_WPSOffice_Level1"/>
      <w:bookmarkStart w:id="117" w:name="_Toc17580_WPSOffice_Level1"/>
    </w:p>
    <w:p>
      <w:pPr>
        <w:spacing w:line="578" w:lineRule="exact"/>
        <w:jc w:val="center"/>
        <w:rPr>
          <w:rFonts w:eastAsia="黑体"/>
          <w:sz w:val="32"/>
          <w:szCs w:val="32"/>
        </w:rPr>
      </w:pPr>
      <w:r>
        <w:rPr>
          <w:rFonts w:eastAsia="黑体"/>
          <w:sz w:val="32"/>
          <w:szCs w:val="32"/>
        </w:rPr>
        <w:t>第四部分名词解释</w:t>
      </w:r>
      <w:bookmarkEnd w:id="112"/>
      <w:bookmarkEnd w:id="113"/>
      <w:bookmarkEnd w:id="114"/>
      <w:bookmarkEnd w:id="115"/>
      <w:bookmarkEnd w:id="116"/>
      <w:bookmarkEnd w:id="117"/>
    </w:p>
    <w:p>
      <w:pPr>
        <w:spacing w:line="578" w:lineRule="exact"/>
        <w:jc w:val="center"/>
        <w:rPr>
          <w:rFonts w:eastAsia="黑体"/>
          <w:sz w:val="32"/>
          <w:szCs w:val="32"/>
        </w:rPr>
      </w:pPr>
    </w:p>
    <w:p>
      <w:pPr>
        <w:numPr>
          <w:ilvl w:val="0"/>
          <w:numId w:val="3"/>
        </w:numPr>
        <w:spacing w:line="578" w:lineRule="exact"/>
        <w:ind w:firstLine="640" w:firstLineChars="200"/>
        <w:rPr>
          <w:rFonts w:eastAsia="仿宋_GB2312"/>
          <w:sz w:val="32"/>
          <w:szCs w:val="32"/>
        </w:rPr>
      </w:pPr>
      <w:r>
        <w:rPr>
          <w:rFonts w:eastAsia="仿宋_GB2312"/>
          <w:sz w:val="32"/>
          <w:szCs w:val="32"/>
        </w:rPr>
        <w:t>财政拨款收入：指同级政府财政部门当年拨付的各类财政拨款。</w:t>
      </w:r>
    </w:p>
    <w:p>
      <w:pPr>
        <w:spacing w:line="578" w:lineRule="exact"/>
        <w:ind w:firstLine="640" w:firstLineChars="200"/>
        <w:rPr>
          <w:rFonts w:eastAsia="仿宋_GB2312"/>
          <w:sz w:val="32"/>
          <w:szCs w:val="32"/>
        </w:rPr>
      </w:pPr>
      <w:r>
        <w:rPr>
          <w:rFonts w:eastAsia="仿宋_GB2312"/>
          <w:sz w:val="32"/>
          <w:szCs w:val="32"/>
        </w:rPr>
        <w:t>二、上级补助收入：指事业单位从主管部门和上级单位取得的非财政补助收入。</w:t>
      </w:r>
    </w:p>
    <w:p>
      <w:pPr>
        <w:spacing w:line="578" w:lineRule="exact"/>
        <w:ind w:firstLine="640" w:firstLineChars="200"/>
        <w:rPr>
          <w:rFonts w:eastAsia="仿宋_GB2312"/>
          <w:sz w:val="32"/>
          <w:szCs w:val="32"/>
        </w:rPr>
      </w:pPr>
      <w:r>
        <w:rPr>
          <w:rFonts w:eastAsia="仿宋_GB2312"/>
          <w:sz w:val="32"/>
          <w:szCs w:val="32"/>
        </w:rPr>
        <w:t>三、事业收入：指事业单位开展专业业务活动及辅助活动取得的收入。</w:t>
      </w:r>
    </w:p>
    <w:p>
      <w:pPr>
        <w:spacing w:line="578" w:lineRule="exact"/>
        <w:ind w:firstLine="640" w:firstLineChars="200"/>
        <w:rPr>
          <w:rFonts w:eastAsia="仿宋_GB2312"/>
          <w:sz w:val="32"/>
          <w:szCs w:val="32"/>
        </w:rPr>
      </w:pPr>
      <w:r>
        <w:rPr>
          <w:rFonts w:eastAsia="仿宋_GB2312"/>
          <w:sz w:val="32"/>
          <w:szCs w:val="32"/>
        </w:rPr>
        <w:t>四、经营收入：指事业单位在专业业务活动及其辅助活动之外开展非独立核算经营活动取得的收入。</w:t>
      </w:r>
    </w:p>
    <w:p>
      <w:pPr>
        <w:spacing w:line="578" w:lineRule="exact"/>
        <w:ind w:firstLine="640" w:firstLineChars="200"/>
        <w:rPr>
          <w:rFonts w:eastAsia="仿宋_GB2312"/>
          <w:sz w:val="32"/>
          <w:szCs w:val="32"/>
        </w:rPr>
      </w:pPr>
      <w:r>
        <w:rPr>
          <w:rFonts w:eastAsia="仿宋_GB2312"/>
          <w:sz w:val="32"/>
          <w:szCs w:val="32"/>
        </w:rPr>
        <w:t>五、附属单位上缴收入：指事业单位取得附属独立核算单位根据有关规定上缴的收入。</w:t>
      </w:r>
    </w:p>
    <w:p>
      <w:pPr>
        <w:spacing w:line="578" w:lineRule="exact"/>
        <w:ind w:firstLine="640" w:firstLineChars="200"/>
        <w:rPr>
          <w:rFonts w:eastAsia="仿宋_GB2312"/>
          <w:sz w:val="32"/>
          <w:szCs w:val="32"/>
        </w:rPr>
      </w:pPr>
      <w:r>
        <w:rPr>
          <w:rFonts w:eastAsia="仿宋_GB2312"/>
          <w:sz w:val="32"/>
          <w:szCs w:val="32"/>
        </w:rPr>
        <w:t>六、其他收入：指除上述“财政拨款收入”“事业收入”“上级补助收入”“经营收入”“附属单位上缴收入”等以外的收入。</w:t>
      </w:r>
    </w:p>
    <w:p>
      <w:pPr>
        <w:spacing w:line="578" w:lineRule="exact"/>
        <w:ind w:firstLine="640" w:firstLineChars="200"/>
        <w:rPr>
          <w:rFonts w:eastAsia="仿宋_GB2312"/>
          <w:sz w:val="32"/>
          <w:szCs w:val="32"/>
        </w:rPr>
      </w:pPr>
      <w:r>
        <w:rPr>
          <w:rFonts w:eastAsia="仿宋_GB2312"/>
          <w:sz w:val="32"/>
          <w:szCs w:val="32"/>
        </w:rPr>
        <w:t>七、使用非财政拨款结余：指事业单位在当年的“财政拨款收入”“事业收入”“经营收入”“其他收入”等不足以安排当年支出的情况下，使用非同级财政拨款结余资金弥补本年度收支缺口。</w:t>
      </w:r>
    </w:p>
    <w:p>
      <w:pPr>
        <w:spacing w:line="578" w:lineRule="exact"/>
        <w:ind w:firstLine="640" w:firstLineChars="200"/>
        <w:rPr>
          <w:rFonts w:eastAsia="仿宋_GB2312"/>
          <w:sz w:val="32"/>
          <w:szCs w:val="32"/>
        </w:rPr>
      </w:pPr>
      <w:r>
        <w:rPr>
          <w:rFonts w:eastAsia="仿宋_GB2312"/>
          <w:sz w:val="32"/>
          <w:szCs w:val="32"/>
        </w:rPr>
        <w:t>八、年初结转和结余：指以前年度尚未完成、结转到本年按有关规定继续使用的资金，或项目已完成等产生的结余资金。</w:t>
      </w:r>
    </w:p>
    <w:p>
      <w:pPr>
        <w:spacing w:line="578" w:lineRule="exact"/>
        <w:ind w:firstLine="640" w:firstLineChars="200"/>
        <w:rPr>
          <w:rFonts w:eastAsia="仿宋_GB2312"/>
          <w:sz w:val="32"/>
          <w:szCs w:val="32"/>
        </w:rPr>
      </w:pPr>
      <w:r>
        <w:rPr>
          <w:rFonts w:eastAsia="仿宋_GB2312"/>
          <w:sz w:val="32"/>
          <w:szCs w:val="32"/>
        </w:rPr>
        <w:t>九、结余分配：指事业单位缴纳企业所得税以及从非财政拨款结余或经营结余中提取各类结余的情况。</w:t>
      </w:r>
    </w:p>
    <w:p>
      <w:pPr>
        <w:spacing w:line="578" w:lineRule="exact"/>
        <w:ind w:firstLine="640" w:firstLineChars="200"/>
        <w:rPr>
          <w:rFonts w:eastAsia="仿宋_GB2312"/>
          <w:sz w:val="32"/>
          <w:szCs w:val="32"/>
        </w:rPr>
      </w:pPr>
      <w:r>
        <w:rPr>
          <w:rFonts w:eastAsia="仿宋_GB2312"/>
          <w:sz w:val="32"/>
          <w:szCs w:val="32"/>
        </w:rPr>
        <w:t>十、年末结转和结余：指本年度或以前年度预算安排、因客观条件发生变化无法按原计划实施，需要延迟到以后年度按有关规定继续使用的资金（不包括事业单位非财政拨款结余和专用结余）。</w:t>
      </w:r>
    </w:p>
    <w:p>
      <w:pPr>
        <w:spacing w:line="578" w:lineRule="exact"/>
        <w:ind w:firstLine="640" w:firstLineChars="200"/>
        <w:rPr>
          <w:rFonts w:eastAsia="仿宋_GB2312"/>
          <w:sz w:val="32"/>
          <w:szCs w:val="32"/>
        </w:rPr>
      </w:pPr>
      <w:r>
        <w:rPr>
          <w:rFonts w:eastAsia="仿宋_GB2312"/>
          <w:sz w:val="32"/>
          <w:szCs w:val="32"/>
        </w:rPr>
        <w:t>十一、基本支出：指为保障机构正常运转、完成日常工作任务而发生的人员支出和公用支出。</w:t>
      </w:r>
    </w:p>
    <w:p>
      <w:pPr>
        <w:spacing w:line="578" w:lineRule="exact"/>
        <w:ind w:firstLine="640" w:firstLineChars="200"/>
        <w:rPr>
          <w:rFonts w:eastAsia="仿宋_GB2312"/>
          <w:sz w:val="32"/>
          <w:szCs w:val="32"/>
        </w:rPr>
      </w:pPr>
      <w:r>
        <w:rPr>
          <w:rFonts w:eastAsia="仿宋_GB2312"/>
          <w:sz w:val="32"/>
          <w:szCs w:val="32"/>
        </w:rPr>
        <w:t>十二、项目支出：指在基本支出之外为完成特定行政任务和事业发展目标所发生的支出。</w:t>
      </w:r>
    </w:p>
    <w:p>
      <w:pPr>
        <w:spacing w:line="578" w:lineRule="exact"/>
        <w:ind w:firstLine="640" w:firstLineChars="200"/>
        <w:rPr>
          <w:rFonts w:eastAsia="仿宋_GB2312"/>
          <w:sz w:val="32"/>
          <w:szCs w:val="32"/>
        </w:rPr>
      </w:pPr>
      <w:r>
        <w:rPr>
          <w:rFonts w:eastAsia="仿宋_GB2312"/>
          <w:sz w:val="32"/>
          <w:szCs w:val="32"/>
        </w:rPr>
        <w:t>十三、经营支出：指事业单位在专业业务活动及其辅助活动之外开展非独立核算经营活动发生的支出。</w:t>
      </w:r>
    </w:p>
    <w:p>
      <w:pPr>
        <w:spacing w:line="578" w:lineRule="exact"/>
        <w:ind w:firstLine="640" w:firstLineChars="200"/>
        <w:rPr>
          <w:rFonts w:eastAsia="仿宋_GB2312"/>
          <w:sz w:val="32"/>
          <w:szCs w:val="32"/>
        </w:rPr>
      </w:pPr>
      <w:r>
        <w:rPr>
          <w:rFonts w:eastAsia="仿宋_GB2312"/>
          <w:sz w:val="32"/>
          <w:szCs w:val="32"/>
        </w:rPr>
        <w:t>十四、“三公”经费：纳入本级财政预决算管理的“三公”经费，是指用一般公共预算财政拨款、政府性基金预算财政拨款及国有资本经营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维修费、过路过桥费、保险费、安全奖励费用等支出；公务接待费反映单位按规定开支的各类公务接待（含外宾接待）费用。</w:t>
      </w:r>
    </w:p>
    <w:p>
      <w:pPr>
        <w:spacing w:line="578" w:lineRule="exact"/>
        <w:ind w:firstLine="645"/>
        <w:rPr>
          <w:rFonts w:eastAsia="仿宋_GB2312"/>
          <w:sz w:val="32"/>
          <w:szCs w:val="32"/>
        </w:rPr>
      </w:pPr>
      <w:r>
        <w:rPr>
          <w:rFonts w:eastAsia="仿宋_GB2312"/>
          <w:sz w:val="32"/>
          <w:szCs w:val="32"/>
        </w:rPr>
        <w:t>十五、机关运行经费：为保障行政单位（含参照公务员法管理的事业单位）运行使用一般公共预算财政拨款安排的基本支出经费用于购买货物和服务的各项资金，包括办公及印刷费、邮电费、差旅费、会议费、福利费、日常维修费、专用材料及一般设备购置费、办公用房水电费、办公用房取暖费、办公用房物业管理费、公务用车运行维护费以及其他费用等。</w:t>
      </w:r>
    </w:p>
    <w:sectPr>
      <w:footerReference r:id="rId3" w:type="default"/>
      <w:footerReference r:id="rId4" w:type="even"/>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8</w:t>
    </w:r>
    <w: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C2DCC"/>
    <w:multiLevelType w:val="singleLevel"/>
    <w:tmpl w:val="AFFC2DCC"/>
    <w:lvl w:ilvl="0" w:tentative="0">
      <w:start w:val="1"/>
      <w:numFmt w:val="chineseCounting"/>
      <w:suff w:val="nothing"/>
      <w:lvlText w:val="%1、"/>
      <w:lvlJc w:val="left"/>
      <w:rPr>
        <w:rFonts w:hint="eastAsia"/>
      </w:rPr>
    </w:lvl>
  </w:abstractNum>
  <w:abstractNum w:abstractNumId="1">
    <w:nsid w:val="5623562C"/>
    <w:multiLevelType w:val="multilevel"/>
    <w:tmpl w:val="5623562C"/>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2">
    <w:nsid w:val="72109F8D"/>
    <w:multiLevelType w:val="singleLevel"/>
    <w:tmpl w:val="72109F8D"/>
    <w:lvl w:ilvl="0" w:tentative="0">
      <w:start w:val="7"/>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UyZjg3MjU3Yjg4OGViNzA1Y2U0MDRmNWFmYWQxY2QifQ=="/>
  </w:docVars>
  <w:rsids>
    <w:rsidRoot w:val="A7F73C99"/>
    <w:rsid w:val="00040E7C"/>
    <w:rsid w:val="00062800"/>
    <w:rsid w:val="00064A91"/>
    <w:rsid w:val="000718C4"/>
    <w:rsid w:val="000779B0"/>
    <w:rsid w:val="00084035"/>
    <w:rsid w:val="00105FC2"/>
    <w:rsid w:val="001E4E23"/>
    <w:rsid w:val="001E510D"/>
    <w:rsid w:val="001F28C1"/>
    <w:rsid w:val="001F4EC0"/>
    <w:rsid w:val="00213789"/>
    <w:rsid w:val="002320A7"/>
    <w:rsid w:val="002A6E07"/>
    <w:rsid w:val="0034456B"/>
    <w:rsid w:val="003D2F77"/>
    <w:rsid w:val="004A5231"/>
    <w:rsid w:val="004C755C"/>
    <w:rsid w:val="004D515A"/>
    <w:rsid w:val="004D5572"/>
    <w:rsid w:val="004F434E"/>
    <w:rsid w:val="0050273F"/>
    <w:rsid w:val="00513897"/>
    <w:rsid w:val="00530C81"/>
    <w:rsid w:val="00557D50"/>
    <w:rsid w:val="005C43A2"/>
    <w:rsid w:val="005E1EE5"/>
    <w:rsid w:val="005E64FB"/>
    <w:rsid w:val="005F5987"/>
    <w:rsid w:val="00602EED"/>
    <w:rsid w:val="006B0D64"/>
    <w:rsid w:val="00721503"/>
    <w:rsid w:val="00731FC7"/>
    <w:rsid w:val="00740E64"/>
    <w:rsid w:val="00754F6E"/>
    <w:rsid w:val="007A4101"/>
    <w:rsid w:val="007B3C3A"/>
    <w:rsid w:val="007C05D8"/>
    <w:rsid w:val="007F0717"/>
    <w:rsid w:val="008232A9"/>
    <w:rsid w:val="00896ADB"/>
    <w:rsid w:val="00997D27"/>
    <w:rsid w:val="009A2744"/>
    <w:rsid w:val="00A54A37"/>
    <w:rsid w:val="00A70448"/>
    <w:rsid w:val="00AA19F3"/>
    <w:rsid w:val="00AC28EE"/>
    <w:rsid w:val="00AC3F0E"/>
    <w:rsid w:val="00B05B5C"/>
    <w:rsid w:val="00B36E61"/>
    <w:rsid w:val="00B409FF"/>
    <w:rsid w:val="00B4133E"/>
    <w:rsid w:val="00B54DE8"/>
    <w:rsid w:val="00B63E9E"/>
    <w:rsid w:val="00B70CF0"/>
    <w:rsid w:val="00BC0439"/>
    <w:rsid w:val="00C04C21"/>
    <w:rsid w:val="00C7436A"/>
    <w:rsid w:val="00CA0F14"/>
    <w:rsid w:val="00CA536B"/>
    <w:rsid w:val="00CB0D1E"/>
    <w:rsid w:val="00CB493E"/>
    <w:rsid w:val="00CD6E49"/>
    <w:rsid w:val="00CD794A"/>
    <w:rsid w:val="00D77629"/>
    <w:rsid w:val="00DB612B"/>
    <w:rsid w:val="00DC2A37"/>
    <w:rsid w:val="00E07782"/>
    <w:rsid w:val="00E70EA3"/>
    <w:rsid w:val="00EB1A3C"/>
    <w:rsid w:val="00EF5CDB"/>
    <w:rsid w:val="00F0336A"/>
    <w:rsid w:val="00F06DA9"/>
    <w:rsid w:val="00F103D6"/>
    <w:rsid w:val="00F25220"/>
    <w:rsid w:val="00F465A6"/>
    <w:rsid w:val="00F66583"/>
    <w:rsid w:val="00FA2884"/>
    <w:rsid w:val="00FC03DC"/>
    <w:rsid w:val="00FC07FB"/>
    <w:rsid w:val="00FC5708"/>
    <w:rsid w:val="00FC7D6F"/>
    <w:rsid w:val="09201287"/>
    <w:rsid w:val="0FC80124"/>
    <w:rsid w:val="136F98C7"/>
    <w:rsid w:val="17427E68"/>
    <w:rsid w:val="1755065F"/>
    <w:rsid w:val="1AFC29C9"/>
    <w:rsid w:val="1CA52F2E"/>
    <w:rsid w:val="1DFE370B"/>
    <w:rsid w:val="1E3630B9"/>
    <w:rsid w:val="26EEC2B5"/>
    <w:rsid w:val="29472309"/>
    <w:rsid w:val="2B406E77"/>
    <w:rsid w:val="2C2A0C43"/>
    <w:rsid w:val="2D1E73A5"/>
    <w:rsid w:val="32717154"/>
    <w:rsid w:val="34B63260"/>
    <w:rsid w:val="37FDA7E2"/>
    <w:rsid w:val="3A314D88"/>
    <w:rsid w:val="3A746883"/>
    <w:rsid w:val="3CA15DE9"/>
    <w:rsid w:val="3FE61EE5"/>
    <w:rsid w:val="406508EE"/>
    <w:rsid w:val="408D6263"/>
    <w:rsid w:val="41B40CEE"/>
    <w:rsid w:val="43F72DE0"/>
    <w:rsid w:val="48317291"/>
    <w:rsid w:val="485F7024"/>
    <w:rsid w:val="48E70666"/>
    <w:rsid w:val="4C6877E5"/>
    <w:rsid w:val="4D6A468D"/>
    <w:rsid w:val="4EA86137"/>
    <w:rsid w:val="56CA7FD0"/>
    <w:rsid w:val="57FA38D1"/>
    <w:rsid w:val="5F7D3333"/>
    <w:rsid w:val="61385890"/>
    <w:rsid w:val="687436E1"/>
    <w:rsid w:val="6DA45C50"/>
    <w:rsid w:val="6E9A7825"/>
    <w:rsid w:val="6F670F9B"/>
    <w:rsid w:val="737450E0"/>
    <w:rsid w:val="74054476"/>
    <w:rsid w:val="742F38C4"/>
    <w:rsid w:val="74AB66DC"/>
    <w:rsid w:val="74C4154C"/>
    <w:rsid w:val="75956FFF"/>
    <w:rsid w:val="77AA2D01"/>
    <w:rsid w:val="7CDE1DBD"/>
    <w:rsid w:val="7D943A85"/>
    <w:rsid w:val="7DB0448C"/>
    <w:rsid w:val="7E5F9AA4"/>
    <w:rsid w:val="8FFC8888"/>
    <w:rsid w:val="A7F73C99"/>
    <w:rsid w:val="BFFE3BF4"/>
    <w:rsid w:val="DFEBDA37"/>
    <w:rsid w:val="EF6FCA1D"/>
    <w:rsid w:val="EFFF57D6"/>
    <w:rsid w:val="FD33A2D0"/>
    <w:rsid w:val="FF7FA20F"/>
    <w:rsid w:val="FFFE81A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1"/>
    <w:qFormat/>
    <w:uiPriority w:val="0"/>
    <w:pPr>
      <w:jc w:val="left"/>
    </w:p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autoRedefine/>
    <w:qFormat/>
    <w:uiPriority w:val="0"/>
    <w:rPr>
      <w:b/>
      <w:bCs/>
    </w:rPr>
  </w:style>
  <w:style w:type="character" w:styleId="9">
    <w:name w:val="page number"/>
    <w:qFormat/>
    <w:uiPriority w:val="0"/>
  </w:style>
  <w:style w:type="character" w:styleId="10">
    <w:name w:val="annotation reference"/>
    <w:qFormat/>
    <w:uiPriority w:val="0"/>
    <w:rPr>
      <w:sz w:val="21"/>
      <w:szCs w:val="21"/>
    </w:rPr>
  </w:style>
  <w:style w:type="character" w:customStyle="1" w:styleId="11">
    <w:name w:val="批注文字 Char"/>
    <w:link w:val="2"/>
    <w:qFormat/>
    <w:uiPriority w:val="0"/>
    <w:rPr>
      <w:kern w:val="2"/>
      <w:sz w:val="21"/>
      <w:szCs w:val="24"/>
    </w:rPr>
  </w:style>
  <w:style w:type="character" w:customStyle="1" w:styleId="12">
    <w:name w:val="批注框文本 Char"/>
    <w:link w:val="3"/>
    <w:qFormat/>
    <w:uiPriority w:val="0"/>
    <w:rPr>
      <w:kern w:val="2"/>
      <w:sz w:val="18"/>
      <w:szCs w:val="18"/>
    </w:rPr>
  </w:style>
  <w:style w:type="character" w:customStyle="1" w:styleId="13">
    <w:name w:val="页眉 Char"/>
    <w:link w:val="5"/>
    <w:qFormat/>
    <w:uiPriority w:val="0"/>
    <w:rPr>
      <w:kern w:val="2"/>
      <w:sz w:val="18"/>
      <w:szCs w:val="18"/>
    </w:rPr>
  </w:style>
  <w:style w:type="character" w:customStyle="1" w:styleId="14">
    <w:name w:val="批注主题 Char"/>
    <w:link w:val="6"/>
    <w:qFormat/>
    <w:uiPriority w:val="0"/>
    <w:rPr>
      <w:b/>
      <w:bCs/>
      <w:kern w:val="2"/>
      <w:sz w:val="21"/>
      <w:szCs w:val="24"/>
    </w:rPr>
  </w:style>
  <w:style w:type="paragraph" w:customStyle="1" w:styleId="15">
    <w:name w:val="WPSOffice手动目录 1"/>
    <w:qFormat/>
    <w:uiPriority w:val="0"/>
    <w:rPr>
      <w:rFonts w:ascii="Times New Roman" w:hAnsi="Times New Roman" w:eastAsia="宋体" w:cs="Times New Roman"/>
      <w:lang w:val="en-US" w:eastAsia="zh-CN" w:bidi="ar-SA"/>
    </w:rPr>
  </w:style>
  <w:style w:type="paragraph" w:customStyle="1" w:styleId="16">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7">
    <w:name w:val="正文1 Char Char Char"/>
    <w:basedOn w:val="1"/>
    <w:qFormat/>
    <w:uiPriority w:val="0"/>
    <w:pPr>
      <w:spacing w:line="360" w:lineRule="auto"/>
      <w:ind w:firstLine="200" w:firstLineChars="200"/>
    </w:pPr>
  </w:style>
  <w:style w:type="paragraph" w:styleId="18">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788</Words>
  <Characters>4492</Characters>
  <Lines>37</Lines>
  <Paragraphs>10</Paragraphs>
  <TotalTime>149</TotalTime>
  <ScaleCrop>false</ScaleCrop>
  <LinksUpToDate>false</LinksUpToDate>
  <CharactersWithSpaces>5270</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2026-01-28T07:51:00Z</dcterms:created>
  <dc:creator>uos</dc:creator>
  <cp:lastModifiedBy>雪</cp:lastModifiedBy>
  <cp:lastPrinted>2023-08-03T00:58:00Z</cp:lastPrinted>
  <dcterms:modified xsi:type="dcterms:W3CDTF">2026-09-14T02:29:54Z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03AE7F14E2DC4BACB053764200FF950D_13</vt:lpwstr>
  </property>
  <property fmtid="{D5CDD505-2E9C-101B-9397-08002B2CF9AE}" pid="4" name="KSOTemplateDocerSaveRecord">
    <vt:lpwstr>eyJoZGlkIjoiY2VlZThlZDk5ZTQ4MTFjNGY3MjIxNTdiOWMzZmQwMWMiLCJ1c2VySWQiOiIyMzQ5MTc1OTYifQ==</vt:lpwstr>
  </property>
</Properties>
</file>