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7E356A">
      <w:pPr>
        <w:spacing w:line="578" w:lineRule="exact"/>
        <w:jc w:val="center"/>
        <w:rPr>
          <w:rFonts w:hint="eastAsia" w:ascii="方正小标宋简体" w:hAnsi="方正小标宋简体" w:eastAsia="方正小标宋简体" w:cs="方正小标宋简体"/>
          <w:b w:val="0"/>
          <w:bCs w:val="0"/>
          <w:color w:val="auto"/>
          <w:w w:val="90"/>
          <w:sz w:val="44"/>
          <w:szCs w:val="44"/>
        </w:rPr>
      </w:pPr>
      <w:r>
        <w:rPr>
          <w:rFonts w:hint="eastAsia" w:ascii="方正小标宋简体" w:hAnsi="方正小标宋简体" w:eastAsia="方正小标宋简体" w:cs="方正小标宋简体"/>
          <w:b w:val="0"/>
          <w:bCs w:val="0"/>
          <w:color w:val="auto"/>
          <w:w w:val="90"/>
          <w:sz w:val="44"/>
          <w:szCs w:val="44"/>
        </w:rPr>
        <w:t>比如县县委办机关</w:t>
      </w:r>
      <w:r>
        <w:rPr>
          <w:rFonts w:hint="eastAsia" w:ascii="方正小标宋简体" w:hAnsi="方正小标宋简体" w:eastAsia="方正小标宋简体" w:cs="方正小标宋简体"/>
          <w:b w:val="0"/>
          <w:bCs w:val="0"/>
          <w:color w:val="auto"/>
          <w:w w:val="90"/>
          <w:sz w:val="44"/>
          <w:szCs w:val="44"/>
          <w:lang w:val="en-US"/>
        </w:rPr>
        <w:t>2025</w:t>
      </w:r>
      <w:r>
        <w:rPr>
          <w:rFonts w:hint="eastAsia" w:ascii="方正小标宋简体" w:hAnsi="方正小标宋简体" w:eastAsia="方正小标宋简体" w:cs="方正小标宋简体"/>
          <w:b w:val="0"/>
          <w:bCs w:val="0"/>
          <w:color w:val="auto"/>
          <w:w w:val="90"/>
          <w:sz w:val="44"/>
          <w:szCs w:val="44"/>
        </w:rPr>
        <w:t>年度部门决算公开报告</w:t>
      </w:r>
    </w:p>
    <w:p w14:paraId="1E8F4CF7">
      <w:pPr>
        <w:spacing w:line="578" w:lineRule="exact"/>
        <w:jc w:val="center"/>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（公开文字说明参考模板）</w:t>
      </w:r>
    </w:p>
    <w:p w14:paraId="6C2B2D3A">
      <w:pPr>
        <w:spacing w:line="578" w:lineRule="exact"/>
        <w:jc w:val="center"/>
        <w:rPr>
          <w:rFonts w:hint="eastAsia" w:ascii="黑体" w:hAnsi="ˎ̥" w:eastAsia="黑体"/>
          <w:b/>
          <w:color w:val="auto"/>
          <w:sz w:val="32"/>
          <w:szCs w:val="32"/>
        </w:rPr>
      </w:pPr>
    </w:p>
    <w:p w14:paraId="6A8F1018">
      <w:pPr>
        <w:spacing w:line="578" w:lineRule="exact"/>
        <w:jc w:val="center"/>
        <w:rPr>
          <w:rFonts w:hint="eastAsia" w:ascii="方正小标宋简体" w:hAnsi="方正小标宋简体" w:eastAsia="方正小标宋简体" w:cs="方正小标宋简体"/>
          <w:b/>
          <w:bCs/>
          <w:color w:val="auto"/>
          <w:sz w:val="44"/>
          <w:szCs w:val="44"/>
        </w:rPr>
      </w:pPr>
      <w:bookmarkStart w:id="0" w:name="_Toc11440_WPSOffice_Type2"/>
      <w:r>
        <w:rPr>
          <w:rFonts w:hint="eastAsia" w:ascii="方正小标宋简体" w:hAnsi="方正小标宋简体" w:eastAsia="方正小标宋简体" w:cs="方正小标宋简体"/>
          <w:b/>
          <w:bCs/>
          <w:color w:val="auto"/>
          <w:sz w:val="44"/>
          <w:szCs w:val="44"/>
        </w:rPr>
        <w:t>目  录</w:t>
      </w:r>
    </w:p>
    <w:p w14:paraId="6A2F743B">
      <w:pPr>
        <w:pStyle w:val="15"/>
        <w:tabs>
          <w:tab w:val="right" w:leader="dot" w:pos="8306"/>
        </w:tabs>
        <w:spacing w:line="578" w:lineRule="exact"/>
        <w:rPr>
          <w:rFonts w:hint="eastAsia"/>
          <w:color w:val="auto"/>
          <w:sz w:val="32"/>
          <w:szCs w:val="32"/>
        </w:rPr>
      </w:pPr>
      <w:r>
        <w:rPr>
          <w:color w:val="auto"/>
          <w:sz w:val="32"/>
          <w:szCs w:val="32"/>
        </w:rPr>
        <w:fldChar w:fldCharType="begin"/>
      </w:r>
      <w:r>
        <w:rPr>
          <w:color w:val="auto"/>
          <w:sz w:val="32"/>
          <w:szCs w:val="32"/>
        </w:rPr>
        <w:instrText xml:space="preserve"> HYPERLINK \l _Toc1704_WPSOffice_Level1 </w:instrText>
      </w:r>
      <w:r>
        <w:rPr>
          <w:color w:val="auto"/>
          <w:sz w:val="32"/>
          <w:szCs w:val="32"/>
        </w:rPr>
        <w:fldChar w:fldCharType="separate"/>
      </w:r>
      <w:r>
        <w:rPr>
          <w:rFonts w:hint="eastAsia" w:ascii="方正黑体简体" w:hAnsi="方正黑体简体" w:eastAsia="方正黑体简体" w:cs="方正黑体简体"/>
          <w:color w:val="auto"/>
          <w:sz w:val="32"/>
          <w:szCs w:val="32"/>
        </w:rPr>
        <w:t>第一部分 基本情况</w:t>
      </w:r>
      <w:r>
        <w:rPr>
          <w:color w:val="auto"/>
          <w:sz w:val="32"/>
          <w:szCs w:val="32"/>
        </w:rPr>
        <w:tab/>
      </w:r>
      <w:r>
        <w:rPr>
          <w:color w:val="auto"/>
          <w:sz w:val="32"/>
          <w:szCs w:val="32"/>
        </w:rPr>
        <w:fldChar w:fldCharType="end"/>
      </w:r>
      <w:r>
        <w:rPr>
          <w:rFonts w:hint="eastAsia"/>
          <w:color w:val="auto"/>
          <w:sz w:val="32"/>
          <w:szCs w:val="32"/>
        </w:rPr>
        <w:t>2</w:t>
      </w:r>
    </w:p>
    <w:p w14:paraId="29CBFE79">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fldChar w:fldCharType="begin"/>
      </w:r>
      <w:r>
        <w:rPr>
          <w:rFonts w:hint="eastAsia" w:ascii="方正仿宋简体" w:hAnsi="方正仿宋简体" w:eastAsia="方正仿宋简体" w:cs="方正仿宋简体"/>
          <w:color w:val="auto"/>
          <w:sz w:val="32"/>
          <w:szCs w:val="32"/>
        </w:rPr>
        <w:instrText xml:space="preserve"> HYPERLINK \l _Toc20274_WPSOffice_Level2 </w:instrText>
      </w:r>
      <w:r>
        <w:rPr>
          <w:rFonts w:hint="eastAsia" w:ascii="方正仿宋简体" w:hAnsi="方正仿宋简体" w:eastAsia="方正仿宋简体" w:cs="方正仿宋简体"/>
          <w:color w:val="auto"/>
          <w:sz w:val="32"/>
          <w:szCs w:val="32"/>
        </w:rPr>
        <w:fldChar w:fldCharType="separate"/>
      </w:r>
      <w:r>
        <w:rPr>
          <w:rFonts w:hint="eastAsia" w:ascii="方正仿宋简体" w:hAnsi="方正仿宋简体" w:eastAsia="方正仿宋简体" w:cs="方正仿宋简体"/>
          <w:color w:val="auto"/>
          <w:sz w:val="32"/>
          <w:szCs w:val="32"/>
        </w:rPr>
        <w:t>一、部门（单位）职责</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fldChar w:fldCharType="end"/>
      </w:r>
      <w:r>
        <w:rPr>
          <w:rFonts w:hint="eastAsia" w:ascii="方正仿宋简体" w:hAnsi="方正仿宋简体" w:eastAsia="方正仿宋简体" w:cs="方正仿宋简体"/>
          <w:color w:val="auto"/>
          <w:sz w:val="32"/>
          <w:szCs w:val="32"/>
        </w:rPr>
        <w:t>2</w:t>
      </w:r>
    </w:p>
    <w:p w14:paraId="09089809">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fldChar w:fldCharType="begin"/>
      </w:r>
      <w:r>
        <w:rPr>
          <w:rFonts w:hint="eastAsia" w:ascii="方正仿宋简体" w:hAnsi="方正仿宋简体" w:eastAsia="方正仿宋简体" w:cs="方正仿宋简体"/>
          <w:color w:val="auto"/>
          <w:sz w:val="32"/>
          <w:szCs w:val="32"/>
        </w:rPr>
        <w:instrText xml:space="preserve"> HYPERLINK \l _Toc4833_WPSOffice_Level2 </w:instrText>
      </w:r>
      <w:r>
        <w:rPr>
          <w:rFonts w:hint="eastAsia" w:ascii="方正仿宋简体" w:hAnsi="方正仿宋简体" w:eastAsia="方正仿宋简体" w:cs="方正仿宋简体"/>
          <w:color w:val="auto"/>
          <w:sz w:val="32"/>
          <w:szCs w:val="32"/>
        </w:rPr>
        <w:fldChar w:fldCharType="separate"/>
      </w:r>
      <w:r>
        <w:rPr>
          <w:rFonts w:hint="eastAsia" w:ascii="方正仿宋简体" w:hAnsi="方正仿宋简体" w:eastAsia="方正仿宋简体" w:cs="方正仿宋简体"/>
          <w:color w:val="auto"/>
          <w:sz w:val="32"/>
          <w:szCs w:val="32"/>
        </w:rPr>
        <w:t>二、机构设置</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fldChar w:fldCharType="end"/>
      </w:r>
      <w:r>
        <w:rPr>
          <w:rFonts w:hint="eastAsia" w:ascii="方正仿宋简体" w:hAnsi="方正仿宋简体" w:eastAsia="方正仿宋简体" w:cs="方正仿宋简体"/>
          <w:color w:val="auto"/>
          <w:sz w:val="32"/>
          <w:szCs w:val="32"/>
        </w:rPr>
        <w:t>2</w:t>
      </w:r>
    </w:p>
    <w:p w14:paraId="3B013F23">
      <w:pPr>
        <w:pStyle w:val="15"/>
        <w:tabs>
          <w:tab w:val="right" w:leader="dot" w:pos="8306"/>
        </w:tabs>
        <w:spacing w:line="578" w:lineRule="exact"/>
        <w:rPr>
          <w:rFonts w:hint="eastAsia"/>
          <w:color w:val="auto"/>
          <w:sz w:val="32"/>
          <w:szCs w:val="32"/>
        </w:rPr>
      </w:pPr>
      <w:r>
        <w:rPr>
          <w:color w:val="auto"/>
          <w:sz w:val="32"/>
          <w:szCs w:val="32"/>
        </w:rPr>
        <w:fldChar w:fldCharType="begin"/>
      </w:r>
      <w:r>
        <w:rPr>
          <w:color w:val="auto"/>
          <w:sz w:val="32"/>
          <w:szCs w:val="32"/>
        </w:rPr>
        <w:instrText xml:space="preserve"> HYPERLINK \l _Toc28253_WPSOffice_Level1 </w:instrText>
      </w:r>
      <w:r>
        <w:rPr>
          <w:color w:val="auto"/>
          <w:sz w:val="32"/>
          <w:szCs w:val="32"/>
        </w:rPr>
        <w:fldChar w:fldCharType="separate"/>
      </w:r>
      <w:r>
        <w:rPr>
          <w:rFonts w:hint="eastAsia" w:ascii="方正黑体简体" w:hAnsi="方正黑体简体" w:eastAsia="方正黑体简体" w:cs="方正黑体简体"/>
          <w:color w:val="auto"/>
          <w:sz w:val="32"/>
          <w:szCs w:val="32"/>
        </w:rPr>
        <w:t xml:space="preserve">第二部分  </w:t>
      </w:r>
      <w:r>
        <w:rPr>
          <w:rFonts w:hint="eastAsia" w:ascii="方正黑体简体" w:hAnsi="方正黑体简体" w:eastAsia="方正黑体简体" w:cs="方正黑体简体"/>
          <w:color w:val="auto"/>
          <w:sz w:val="32"/>
          <w:szCs w:val="32"/>
          <w:lang w:val="en-US"/>
        </w:rPr>
        <w:t>2025</w:t>
      </w:r>
      <w:r>
        <w:rPr>
          <w:rFonts w:hint="eastAsia" w:ascii="方正黑体简体" w:hAnsi="方正黑体简体" w:eastAsia="方正黑体简体" w:cs="方正黑体简体"/>
          <w:color w:val="auto"/>
          <w:sz w:val="32"/>
          <w:szCs w:val="32"/>
        </w:rPr>
        <w:t>年度部门决算公开表</w:t>
      </w:r>
      <w:r>
        <w:rPr>
          <w:color w:val="auto"/>
          <w:sz w:val="32"/>
          <w:szCs w:val="32"/>
        </w:rPr>
        <w:tab/>
      </w:r>
      <w:r>
        <w:rPr>
          <w:color w:val="auto"/>
          <w:sz w:val="32"/>
          <w:szCs w:val="32"/>
        </w:rPr>
        <w:fldChar w:fldCharType="end"/>
      </w:r>
      <w:r>
        <w:rPr>
          <w:rFonts w:hint="eastAsia"/>
          <w:color w:val="auto"/>
          <w:sz w:val="32"/>
          <w:szCs w:val="32"/>
        </w:rPr>
        <w:t>2</w:t>
      </w:r>
    </w:p>
    <w:p w14:paraId="6E57563D">
      <w:pPr>
        <w:pStyle w:val="15"/>
        <w:tabs>
          <w:tab w:val="right" w:leader="dot" w:pos="8306"/>
        </w:tabs>
        <w:spacing w:line="578" w:lineRule="exact"/>
        <w:rPr>
          <w:rFonts w:hint="eastAsia"/>
          <w:color w:val="auto"/>
          <w:sz w:val="32"/>
          <w:szCs w:val="32"/>
        </w:rPr>
      </w:pPr>
      <w:r>
        <w:rPr>
          <w:color w:val="auto"/>
          <w:sz w:val="32"/>
          <w:szCs w:val="32"/>
        </w:rPr>
        <w:fldChar w:fldCharType="begin"/>
      </w:r>
      <w:r>
        <w:rPr>
          <w:color w:val="auto"/>
          <w:sz w:val="32"/>
          <w:szCs w:val="32"/>
        </w:rPr>
        <w:instrText xml:space="preserve"> HYPERLINK \l _Toc27590_WPSOffice_Level1 </w:instrText>
      </w:r>
      <w:r>
        <w:rPr>
          <w:color w:val="auto"/>
          <w:sz w:val="32"/>
          <w:szCs w:val="32"/>
        </w:rPr>
        <w:fldChar w:fldCharType="separate"/>
      </w:r>
      <w:r>
        <w:rPr>
          <w:rFonts w:hint="eastAsia" w:ascii="方正黑体简体" w:hAnsi="方正黑体简体" w:eastAsia="方正黑体简体" w:cs="方正黑体简体"/>
          <w:color w:val="auto"/>
          <w:sz w:val="32"/>
          <w:szCs w:val="32"/>
        </w:rPr>
        <w:t xml:space="preserve">第三部分  </w:t>
      </w:r>
      <w:r>
        <w:rPr>
          <w:rFonts w:hint="eastAsia" w:ascii="方正黑体简体" w:hAnsi="方正黑体简体" w:eastAsia="方正黑体简体" w:cs="方正黑体简体"/>
          <w:color w:val="auto"/>
          <w:sz w:val="32"/>
          <w:szCs w:val="32"/>
          <w:lang w:val="en-US"/>
        </w:rPr>
        <w:t>2025</w:t>
      </w:r>
      <w:r>
        <w:rPr>
          <w:rFonts w:hint="eastAsia" w:ascii="方正黑体简体" w:hAnsi="方正黑体简体" w:eastAsia="方正黑体简体" w:cs="方正黑体简体"/>
          <w:color w:val="auto"/>
          <w:sz w:val="32"/>
          <w:szCs w:val="32"/>
        </w:rPr>
        <w:t>年度部门决算情况说明</w:t>
      </w:r>
      <w:r>
        <w:rPr>
          <w:color w:val="auto"/>
          <w:sz w:val="32"/>
          <w:szCs w:val="32"/>
        </w:rPr>
        <w:tab/>
      </w:r>
      <w:r>
        <w:rPr>
          <w:color w:val="auto"/>
          <w:sz w:val="32"/>
          <w:szCs w:val="32"/>
        </w:rPr>
        <w:fldChar w:fldCharType="end"/>
      </w:r>
      <w:r>
        <w:rPr>
          <w:rFonts w:hint="eastAsia"/>
          <w:color w:val="auto"/>
          <w:sz w:val="32"/>
          <w:szCs w:val="32"/>
        </w:rPr>
        <w:t>3</w:t>
      </w:r>
    </w:p>
    <w:p w14:paraId="65C40179">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fldChar w:fldCharType="begin"/>
      </w:r>
      <w:r>
        <w:rPr>
          <w:rFonts w:hint="eastAsia" w:ascii="方正仿宋简体" w:hAnsi="方正仿宋简体" w:eastAsia="方正仿宋简体" w:cs="方正仿宋简体"/>
          <w:color w:val="auto"/>
          <w:sz w:val="32"/>
          <w:szCs w:val="32"/>
        </w:rPr>
        <w:instrText xml:space="preserve"> HYPERLINK \l _Toc21737_WPSOffice_Level2 </w:instrText>
      </w:r>
      <w:r>
        <w:rPr>
          <w:rFonts w:hint="eastAsia" w:ascii="方正仿宋简体" w:hAnsi="方正仿宋简体" w:eastAsia="方正仿宋简体" w:cs="方正仿宋简体"/>
          <w:color w:val="auto"/>
          <w:sz w:val="32"/>
          <w:szCs w:val="32"/>
        </w:rPr>
        <w:fldChar w:fldCharType="separate"/>
      </w:r>
      <w:r>
        <w:rPr>
          <w:rFonts w:hint="eastAsia" w:ascii="方正仿宋简体" w:hAnsi="方正仿宋简体" w:eastAsia="方正仿宋简体" w:cs="方正仿宋简体"/>
          <w:bCs/>
          <w:color w:val="auto"/>
          <w:sz w:val="32"/>
          <w:szCs w:val="32"/>
        </w:rPr>
        <w:t>一、收入支出总体情况说明</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fldChar w:fldCharType="end"/>
      </w:r>
      <w:r>
        <w:rPr>
          <w:rFonts w:hint="eastAsia" w:ascii="方正仿宋简体" w:hAnsi="方正仿宋简体" w:eastAsia="方正仿宋简体" w:cs="方正仿宋简体"/>
          <w:color w:val="auto"/>
          <w:sz w:val="32"/>
          <w:szCs w:val="32"/>
        </w:rPr>
        <w:t>3</w:t>
      </w:r>
    </w:p>
    <w:p w14:paraId="4BD7D57F">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fldChar w:fldCharType="begin"/>
      </w:r>
      <w:r>
        <w:rPr>
          <w:rFonts w:hint="eastAsia" w:ascii="方正仿宋简体" w:hAnsi="方正仿宋简体" w:eastAsia="方正仿宋简体" w:cs="方正仿宋简体"/>
          <w:color w:val="auto"/>
          <w:sz w:val="32"/>
          <w:szCs w:val="32"/>
        </w:rPr>
        <w:instrText xml:space="preserve"> HYPERLINK \l _Toc19535_WPSOffice_Level2 </w:instrText>
      </w:r>
      <w:r>
        <w:rPr>
          <w:rFonts w:hint="eastAsia" w:ascii="方正仿宋简体" w:hAnsi="方正仿宋简体" w:eastAsia="方正仿宋简体" w:cs="方正仿宋简体"/>
          <w:color w:val="auto"/>
          <w:sz w:val="32"/>
          <w:szCs w:val="32"/>
        </w:rPr>
        <w:fldChar w:fldCharType="separate"/>
      </w:r>
      <w:r>
        <w:rPr>
          <w:rFonts w:hint="eastAsia" w:ascii="方正仿宋简体" w:hAnsi="方正仿宋简体" w:eastAsia="方正仿宋简体" w:cs="方正仿宋简体"/>
          <w:bCs/>
          <w:color w:val="auto"/>
          <w:sz w:val="32"/>
          <w:szCs w:val="32"/>
        </w:rPr>
        <w:t>二、收入决算情况说明</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fldChar w:fldCharType="end"/>
      </w:r>
      <w:r>
        <w:rPr>
          <w:rFonts w:hint="eastAsia" w:ascii="方正仿宋简体" w:hAnsi="方正仿宋简体" w:eastAsia="方正仿宋简体" w:cs="方正仿宋简体"/>
          <w:color w:val="auto"/>
          <w:sz w:val="32"/>
          <w:szCs w:val="32"/>
        </w:rPr>
        <w:t>4</w:t>
      </w:r>
    </w:p>
    <w:p w14:paraId="0C54764D">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fldChar w:fldCharType="begin"/>
      </w:r>
      <w:r>
        <w:rPr>
          <w:rFonts w:hint="eastAsia" w:ascii="方正仿宋简体" w:hAnsi="方正仿宋简体" w:eastAsia="方正仿宋简体" w:cs="方正仿宋简体"/>
          <w:color w:val="auto"/>
          <w:sz w:val="32"/>
          <w:szCs w:val="32"/>
        </w:rPr>
        <w:instrText xml:space="preserve"> HYPERLINK \l _Toc19535_WPSOffice_Level2 </w:instrText>
      </w:r>
      <w:r>
        <w:rPr>
          <w:rFonts w:hint="eastAsia" w:ascii="方正仿宋简体" w:hAnsi="方正仿宋简体" w:eastAsia="方正仿宋简体" w:cs="方正仿宋简体"/>
          <w:color w:val="auto"/>
          <w:sz w:val="32"/>
          <w:szCs w:val="32"/>
        </w:rPr>
        <w:fldChar w:fldCharType="separate"/>
      </w:r>
      <w:r>
        <w:rPr>
          <w:rFonts w:hint="eastAsia" w:ascii="方正仿宋简体" w:hAnsi="方正仿宋简体" w:eastAsia="方正仿宋简体" w:cs="方正仿宋简体"/>
          <w:bCs/>
          <w:color w:val="auto"/>
          <w:sz w:val="32"/>
          <w:szCs w:val="32"/>
        </w:rPr>
        <w:t>三、支出决算情况说明</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fldChar w:fldCharType="end"/>
      </w:r>
      <w:r>
        <w:rPr>
          <w:rFonts w:hint="eastAsia" w:ascii="方正仿宋简体" w:hAnsi="方正仿宋简体" w:eastAsia="方正仿宋简体" w:cs="方正仿宋简体"/>
          <w:color w:val="auto"/>
          <w:sz w:val="32"/>
          <w:szCs w:val="32"/>
        </w:rPr>
        <w:t>4</w:t>
      </w:r>
    </w:p>
    <w:p w14:paraId="51FC70A3">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fldChar w:fldCharType="begin"/>
      </w:r>
      <w:r>
        <w:rPr>
          <w:rFonts w:hint="eastAsia" w:ascii="方正仿宋简体" w:hAnsi="方正仿宋简体" w:eastAsia="方正仿宋简体" w:cs="方正仿宋简体"/>
          <w:color w:val="auto"/>
          <w:sz w:val="32"/>
          <w:szCs w:val="32"/>
        </w:rPr>
        <w:instrText xml:space="preserve"> HYPERLINK \l _Toc19535_WPSOffice_Level2 </w:instrText>
      </w:r>
      <w:r>
        <w:rPr>
          <w:rFonts w:hint="eastAsia" w:ascii="方正仿宋简体" w:hAnsi="方正仿宋简体" w:eastAsia="方正仿宋简体" w:cs="方正仿宋简体"/>
          <w:color w:val="auto"/>
          <w:sz w:val="32"/>
          <w:szCs w:val="32"/>
        </w:rPr>
        <w:fldChar w:fldCharType="separate"/>
      </w:r>
      <w:r>
        <w:rPr>
          <w:rFonts w:hint="eastAsia" w:ascii="方正仿宋简体" w:hAnsi="方正仿宋简体" w:eastAsia="方正仿宋简体" w:cs="方正仿宋简体"/>
          <w:bCs/>
          <w:color w:val="auto"/>
          <w:sz w:val="32"/>
          <w:szCs w:val="32"/>
        </w:rPr>
        <w:t>四、财政拨款收入支出决算</w:t>
      </w:r>
      <w:r>
        <w:rPr>
          <w:rFonts w:hint="eastAsia" w:ascii="方正仿宋简体" w:hAnsi="方正仿宋简体" w:eastAsia="方正仿宋简体" w:cs="方正仿宋简体"/>
          <w:bCs/>
          <w:color w:val="auto"/>
          <w:sz w:val="32"/>
          <w:szCs w:val="32"/>
          <w:lang w:val="en-US" w:eastAsia="zh-CN"/>
        </w:rPr>
        <w:t>总体</w:t>
      </w:r>
      <w:r>
        <w:rPr>
          <w:rFonts w:hint="eastAsia" w:ascii="方正仿宋简体" w:hAnsi="方正仿宋简体" w:eastAsia="方正仿宋简体" w:cs="方正仿宋简体"/>
          <w:bCs/>
          <w:color w:val="auto"/>
          <w:sz w:val="32"/>
          <w:szCs w:val="32"/>
        </w:rPr>
        <w:t>情况说明</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fldChar w:fldCharType="end"/>
      </w:r>
      <w:r>
        <w:rPr>
          <w:rFonts w:hint="eastAsia" w:ascii="方正仿宋简体" w:hAnsi="方正仿宋简体" w:eastAsia="方正仿宋简体" w:cs="方正仿宋简体"/>
          <w:color w:val="auto"/>
          <w:sz w:val="32"/>
          <w:szCs w:val="32"/>
        </w:rPr>
        <w:t>4</w:t>
      </w:r>
    </w:p>
    <w:p w14:paraId="7A0C8420">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fldChar w:fldCharType="begin"/>
      </w:r>
      <w:r>
        <w:rPr>
          <w:rFonts w:hint="eastAsia" w:ascii="方正仿宋简体" w:hAnsi="方正仿宋简体" w:eastAsia="方正仿宋简体" w:cs="方正仿宋简体"/>
          <w:color w:val="auto"/>
          <w:sz w:val="32"/>
          <w:szCs w:val="32"/>
        </w:rPr>
        <w:instrText xml:space="preserve"> HYPERLINK \l _Toc19535_WPSOffice_Level2 </w:instrText>
      </w:r>
      <w:r>
        <w:rPr>
          <w:rFonts w:hint="eastAsia" w:ascii="方正仿宋简体" w:hAnsi="方正仿宋简体" w:eastAsia="方正仿宋简体" w:cs="方正仿宋简体"/>
          <w:color w:val="auto"/>
          <w:sz w:val="32"/>
          <w:szCs w:val="32"/>
        </w:rPr>
        <w:fldChar w:fldCharType="separate"/>
      </w:r>
      <w:r>
        <w:rPr>
          <w:rFonts w:hint="eastAsia" w:ascii="方正仿宋简体" w:hAnsi="方正仿宋简体" w:eastAsia="方正仿宋简体" w:cs="方正仿宋简体"/>
          <w:bCs/>
          <w:color w:val="auto"/>
          <w:sz w:val="32"/>
          <w:szCs w:val="32"/>
        </w:rPr>
        <w:t>五、一般公共预算财政拨款支出决算情况说明</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fldChar w:fldCharType="end"/>
      </w:r>
      <w:r>
        <w:rPr>
          <w:rFonts w:hint="eastAsia" w:ascii="方正仿宋简体" w:hAnsi="方正仿宋简体" w:eastAsia="方正仿宋简体" w:cs="方正仿宋简体"/>
          <w:color w:val="auto"/>
          <w:sz w:val="32"/>
          <w:szCs w:val="32"/>
        </w:rPr>
        <w:t>5</w:t>
      </w:r>
    </w:p>
    <w:p w14:paraId="0F3513AE">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fldChar w:fldCharType="begin"/>
      </w:r>
      <w:r>
        <w:rPr>
          <w:rFonts w:hint="eastAsia" w:ascii="方正仿宋简体" w:hAnsi="方正仿宋简体" w:eastAsia="方正仿宋简体" w:cs="方正仿宋简体"/>
          <w:color w:val="auto"/>
          <w:sz w:val="32"/>
          <w:szCs w:val="32"/>
        </w:rPr>
        <w:instrText xml:space="preserve"> HYPERLINK \l _Toc19535_WPSOffice_Level2 </w:instrText>
      </w:r>
      <w:r>
        <w:rPr>
          <w:rFonts w:hint="eastAsia" w:ascii="方正仿宋简体" w:hAnsi="方正仿宋简体" w:eastAsia="方正仿宋简体" w:cs="方正仿宋简体"/>
          <w:color w:val="auto"/>
          <w:sz w:val="32"/>
          <w:szCs w:val="32"/>
        </w:rPr>
        <w:fldChar w:fldCharType="separate"/>
      </w:r>
      <w:r>
        <w:rPr>
          <w:rFonts w:hint="eastAsia" w:ascii="方正仿宋简体" w:hAnsi="方正仿宋简体" w:eastAsia="方正仿宋简体" w:cs="方正仿宋简体"/>
          <w:bCs/>
          <w:color w:val="auto"/>
          <w:sz w:val="32"/>
          <w:szCs w:val="32"/>
        </w:rPr>
        <w:t>六、一般公共预算财政拨款基本支出决算情况说明</w:t>
      </w:r>
      <w:r>
        <w:rPr>
          <w:rFonts w:hint="eastAsia" w:ascii="方正仿宋简体" w:hAnsi="方正仿宋简体" w:eastAsia="方正仿宋简体" w:cs="方正仿宋简体"/>
          <w:color w:val="auto"/>
          <w:sz w:val="32"/>
          <w:szCs w:val="32"/>
        </w:rPr>
        <w:fldChar w:fldCharType="end"/>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t>6</w:t>
      </w:r>
    </w:p>
    <w:p w14:paraId="14C271AC">
      <w:pPr>
        <w:pStyle w:val="16"/>
        <w:numPr>
          <w:ilvl w:val="0"/>
          <w:numId w:val="0"/>
        </w:numPr>
        <w:tabs>
          <w:tab w:val="right" w:leader="dot" w:pos="8306"/>
        </w:tabs>
        <w:spacing w:line="578" w:lineRule="exact"/>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bCs/>
          <w:color w:val="auto"/>
          <w:sz w:val="32"/>
          <w:szCs w:val="32"/>
          <w:lang w:val="en-US" w:eastAsia="zh-CN"/>
        </w:rPr>
        <w:t>七、</w:t>
      </w:r>
      <w:r>
        <w:rPr>
          <w:rFonts w:hint="eastAsia" w:ascii="方正仿宋简体" w:hAnsi="方正仿宋简体" w:eastAsia="方正仿宋简体" w:cs="方正仿宋简体"/>
          <w:bCs/>
          <w:color w:val="auto"/>
          <w:sz w:val="32"/>
          <w:szCs w:val="32"/>
        </w:rPr>
        <w:t>政府性基金预算财政拨款支出决算情况说明</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t>7</w:t>
      </w:r>
    </w:p>
    <w:p w14:paraId="341B0484">
      <w:pPr>
        <w:pStyle w:val="16"/>
        <w:numPr>
          <w:ilvl w:val="0"/>
          <w:numId w:val="0"/>
        </w:numPr>
        <w:tabs>
          <w:tab w:val="right" w:leader="dot" w:pos="8306"/>
        </w:tabs>
        <w:spacing w:line="578" w:lineRule="exact"/>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bCs/>
          <w:color w:val="auto"/>
          <w:sz w:val="32"/>
          <w:szCs w:val="32"/>
          <w:lang w:val="en-US" w:eastAsia="zh-CN"/>
        </w:rPr>
        <w:t>八、</w:t>
      </w:r>
      <w:r>
        <w:rPr>
          <w:rFonts w:hint="eastAsia" w:ascii="方正仿宋简体" w:hAnsi="方正仿宋简体" w:eastAsia="方正仿宋简体" w:cs="方正仿宋简体"/>
          <w:bCs/>
          <w:color w:val="auto"/>
          <w:sz w:val="32"/>
          <w:szCs w:val="32"/>
        </w:rPr>
        <w:t>国有资本经营预算财政拨款支出决算情况说明</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t>8</w:t>
      </w:r>
    </w:p>
    <w:p w14:paraId="4A5010BD">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fldChar w:fldCharType="begin"/>
      </w:r>
      <w:r>
        <w:rPr>
          <w:rFonts w:hint="eastAsia" w:ascii="方正仿宋简体" w:hAnsi="方正仿宋简体" w:eastAsia="方正仿宋简体" w:cs="方正仿宋简体"/>
          <w:color w:val="auto"/>
          <w:sz w:val="32"/>
          <w:szCs w:val="32"/>
        </w:rPr>
        <w:instrText xml:space="preserve"> HYPERLINK \l _Toc19535_WPSOffice_Level2 </w:instrText>
      </w:r>
      <w:r>
        <w:rPr>
          <w:rFonts w:hint="eastAsia" w:ascii="方正仿宋简体" w:hAnsi="方正仿宋简体" w:eastAsia="方正仿宋简体" w:cs="方正仿宋简体"/>
          <w:color w:val="auto"/>
          <w:sz w:val="32"/>
          <w:szCs w:val="32"/>
        </w:rPr>
        <w:fldChar w:fldCharType="separate"/>
      </w:r>
      <w:r>
        <w:rPr>
          <w:rFonts w:hint="eastAsia" w:ascii="方正仿宋简体" w:hAnsi="方正仿宋简体" w:eastAsia="方正仿宋简体" w:cs="方正仿宋简体"/>
          <w:bCs/>
          <w:color w:val="auto"/>
          <w:sz w:val="32"/>
          <w:szCs w:val="32"/>
        </w:rPr>
        <w:t>九、财政拨款“三公”经费支出决算情况说明</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fldChar w:fldCharType="end"/>
      </w:r>
      <w:r>
        <w:rPr>
          <w:rFonts w:hint="eastAsia" w:ascii="方正仿宋简体" w:hAnsi="方正仿宋简体" w:eastAsia="方正仿宋简体" w:cs="方正仿宋简体"/>
          <w:color w:val="auto"/>
          <w:sz w:val="32"/>
          <w:szCs w:val="32"/>
        </w:rPr>
        <w:t>9</w:t>
      </w:r>
    </w:p>
    <w:p w14:paraId="23F091F4">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color w:val="auto"/>
          <w:sz w:val="32"/>
          <w:szCs w:val="32"/>
        </w:rPr>
        <w:fldChar w:fldCharType="begin"/>
      </w:r>
      <w:r>
        <w:rPr>
          <w:rFonts w:hint="eastAsia" w:ascii="方正仿宋简体" w:hAnsi="方正仿宋简体" w:eastAsia="方正仿宋简体" w:cs="方正仿宋简体"/>
          <w:color w:val="auto"/>
          <w:sz w:val="32"/>
          <w:szCs w:val="32"/>
        </w:rPr>
        <w:instrText xml:space="preserve"> HYPERLINK \l _Toc19535_WPSOffice_Level2 </w:instrText>
      </w:r>
      <w:r>
        <w:rPr>
          <w:rFonts w:hint="eastAsia" w:ascii="方正仿宋简体" w:hAnsi="方正仿宋简体" w:eastAsia="方正仿宋简体" w:cs="方正仿宋简体"/>
          <w:color w:val="auto"/>
          <w:sz w:val="32"/>
          <w:szCs w:val="32"/>
        </w:rPr>
        <w:fldChar w:fldCharType="separate"/>
      </w:r>
      <w:r>
        <w:rPr>
          <w:rFonts w:hint="eastAsia" w:ascii="方正仿宋简体" w:hAnsi="方正仿宋简体" w:eastAsia="方正仿宋简体" w:cs="方正仿宋简体"/>
          <w:bCs/>
          <w:color w:val="auto"/>
          <w:sz w:val="32"/>
          <w:szCs w:val="32"/>
        </w:rPr>
        <w:t>十、预算绩效情况说明</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fldChar w:fldCharType="end"/>
      </w:r>
      <w:r>
        <w:rPr>
          <w:rFonts w:hint="eastAsia" w:ascii="方正仿宋简体" w:hAnsi="方正仿宋简体" w:eastAsia="方正仿宋简体" w:cs="方正仿宋简体"/>
          <w:color w:val="auto"/>
          <w:sz w:val="32"/>
          <w:szCs w:val="32"/>
        </w:rPr>
        <w:t>11</w:t>
      </w:r>
    </w:p>
    <w:p w14:paraId="11226842">
      <w:pPr>
        <w:pStyle w:val="16"/>
        <w:tabs>
          <w:tab w:val="right" w:leader="dot" w:pos="8306"/>
        </w:tabs>
        <w:spacing w:line="578" w:lineRule="exact"/>
        <w:ind w:leftChars="0"/>
        <w:rPr>
          <w:rFonts w:hint="eastAsia" w:ascii="方正仿宋简体" w:hAnsi="方正仿宋简体" w:eastAsia="方正仿宋简体" w:cs="方正仿宋简体"/>
          <w:color w:val="auto"/>
          <w:sz w:val="32"/>
          <w:szCs w:val="32"/>
        </w:rPr>
      </w:pPr>
      <w:r>
        <w:rPr>
          <w:rFonts w:hint="eastAsia" w:ascii="方正仿宋简体" w:hAnsi="方正仿宋简体" w:eastAsia="方正仿宋简体" w:cs="方正仿宋简体"/>
          <w:bCs/>
          <w:color w:val="auto"/>
          <w:sz w:val="32"/>
          <w:szCs w:val="32"/>
        </w:rPr>
        <w:t>十一、其他重要事项情况说明</w:t>
      </w:r>
      <w:r>
        <w:rPr>
          <w:rFonts w:hint="eastAsia" w:ascii="方正仿宋简体" w:hAnsi="方正仿宋简体" w:eastAsia="方正仿宋简体" w:cs="方正仿宋简体"/>
          <w:color w:val="auto"/>
          <w:sz w:val="32"/>
          <w:szCs w:val="32"/>
        </w:rPr>
        <w:tab/>
      </w:r>
      <w:r>
        <w:rPr>
          <w:rFonts w:hint="eastAsia" w:ascii="方正仿宋简体" w:hAnsi="方正仿宋简体" w:eastAsia="方正仿宋简体" w:cs="方正仿宋简体"/>
          <w:color w:val="auto"/>
          <w:sz w:val="32"/>
          <w:szCs w:val="32"/>
        </w:rPr>
        <w:t>13</w:t>
      </w:r>
    </w:p>
    <w:p w14:paraId="1704E608">
      <w:pPr>
        <w:pStyle w:val="15"/>
        <w:tabs>
          <w:tab w:val="right" w:leader="dot" w:pos="8306"/>
        </w:tabs>
        <w:spacing w:line="578" w:lineRule="exact"/>
        <w:rPr>
          <w:rFonts w:hint="eastAsia" w:ascii="黑体" w:hAnsi="ˎ̥"/>
          <w:b/>
          <w:color w:val="auto"/>
          <w:sz w:val="32"/>
          <w:szCs w:val="32"/>
        </w:rPr>
      </w:pPr>
      <w:r>
        <w:rPr>
          <w:rFonts w:hint="eastAsia" w:ascii="方正黑体简体" w:hAnsi="方正黑体简体" w:eastAsia="方正黑体简体" w:cs="方正黑体简体"/>
          <w:color w:val="auto"/>
          <w:sz w:val="32"/>
          <w:szCs w:val="32"/>
        </w:rPr>
        <w:fldChar w:fldCharType="begin"/>
      </w:r>
      <w:r>
        <w:rPr>
          <w:rFonts w:hint="eastAsia" w:ascii="方正黑体简体" w:hAnsi="方正黑体简体" w:eastAsia="方正黑体简体" w:cs="方正黑体简体"/>
          <w:color w:val="auto"/>
          <w:sz w:val="32"/>
          <w:szCs w:val="32"/>
        </w:rPr>
        <w:instrText xml:space="preserve"> HYPERLINK \l _Toc15425_WPSOffice_Level1 </w:instrText>
      </w:r>
      <w:r>
        <w:rPr>
          <w:rFonts w:hint="eastAsia" w:ascii="方正黑体简体" w:hAnsi="方正黑体简体" w:eastAsia="方正黑体简体" w:cs="方正黑体简体"/>
          <w:color w:val="auto"/>
          <w:sz w:val="32"/>
          <w:szCs w:val="32"/>
        </w:rPr>
        <w:fldChar w:fldCharType="separate"/>
      </w:r>
      <w:r>
        <w:rPr>
          <w:rFonts w:hint="eastAsia" w:ascii="方正黑体简体" w:hAnsi="方正黑体简体" w:eastAsia="方正黑体简体" w:cs="方正黑体简体"/>
          <w:color w:val="auto"/>
          <w:sz w:val="32"/>
          <w:szCs w:val="32"/>
        </w:rPr>
        <w:t>第四部分  名词解释</w:t>
      </w:r>
      <w:r>
        <w:rPr>
          <w:rFonts w:hint="eastAsia" w:ascii="方正黑体简体" w:hAnsi="方正黑体简体" w:eastAsia="方正黑体简体" w:cs="方正黑体简体"/>
          <w:color w:val="auto"/>
          <w:sz w:val="32"/>
          <w:szCs w:val="32"/>
        </w:rPr>
        <w:tab/>
      </w:r>
      <w:bookmarkStart w:id="1" w:name="_Toc15425_WPSOffice_Level1Page"/>
      <w:r>
        <w:rPr>
          <w:rFonts w:hint="eastAsia" w:ascii="方正黑体简体" w:hAnsi="方正黑体简体" w:eastAsia="方正黑体简体" w:cs="方正黑体简体"/>
          <w:color w:val="auto"/>
          <w:sz w:val="32"/>
          <w:szCs w:val="32"/>
        </w:rPr>
        <w:t>1</w:t>
      </w:r>
      <w:bookmarkEnd w:id="1"/>
      <w:r>
        <w:rPr>
          <w:rFonts w:hint="eastAsia" w:ascii="方正黑体简体" w:hAnsi="方正黑体简体" w:eastAsia="方正黑体简体" w:cs="方正黑体简体"/>
          <w:color w:val="auto"/>
          <w:sz w:val="32"/>
          <w:szCs w:val="32"/>
        </w:rPr>
        <w:fldChar w:fldCharType="end"/>
      </w:r>
      <w:bookmarkEnd w:id="0"/>
      <w:r>
        <w:rPr>
          <w:rFonts w:hint="eastAsia" w:ascii="方正黑体简体" w:hAnsi="方正黑体简体" w:eastAsia="方正黑体简体" w:cs="方正黑体简体"/>
          <w:color w:val="auto"/>
          <w:sz w:val="32"/>
          <w:szCs w:val="32"/>
        </w:rPr>
        <w:t>5</w:t>
      </w:r>
    </w:p>
    <w:p w14:paraId="4EC8D6DA">
      <w:pPr>
        <w:spacing w:line="578" w:lineRule="exact"/>
        <w:jc w:val="both"/>
        <w:rPr>
          <w:rFonts w:hint="eastAsia" w:ascii="黑体" w:hAnsi="ˎ̥" w:eastAsia="黑体"/>
          <w:color w:val="auto"/>
          <w:sz w:val="32"/>
          <w:szCs w:val="32"/>
        </w:rPr>
      </w:pPr>
      <w:bookmarkStart w:id="2" w:name="_Toc10049_WPSOffice_Level1"/>
      <w:bookmarkStart w:id="3" w:name="_Toc1704_WPSOffice_Level1"/>
      <w:bookmarkStart w:id="4" w:name="_Toc10720_WPSOffice_Level1"/>
      <w:bookmarkStart w:id="5" w:name="_Toc32433_WPSOffice_Level1"/>
      <w:bookmarkStart w:id="6" w:name="_Toc23465_WPSOffice_Level1"/>
      <w:bookmarkStart w:id="7" w:name="_Toc22941_WPSOffice_Level1"/>
      <w:bookmarkStart w:id="8" w:name="_Toc24238_WPSOffice_Level2"/>
      <w:bookmarkStart w:id="9" w:name="_Toc32622_WPSOffice_Level2"/>
      <w:bookmarkStart w:id="10" w:name="_Toc20274_WPSOffice_Level2"/>
      <w:bookmarkStart w:id="11" w:name="_Toc26580_WPSOffice_Level2"/>
      <w:bookmarkStart w:id="12" w:name="_Toc14159_WPSOffice_Level2"/>
      <w:bookmarkStart w:id="13" w:name="_Toc20205_WPSOffice_Level2"/>
    </w:p>
    <w:p w14:paraId="13495E08">
      <w:pPr>
        <w:spacing w:line="57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 xml:space="preserve">第一部分  </w:t>
      </w:r>
      <w:bookmarkEnd w:id="2"/>
      <w:bookmarkEnd w:id="3"/>
      <w:bookmarkEnd w:id="4"/>
      <w:bookmarkEnd w:id="5"/>
      <w:bookmarkEnd w:id="6"/>
      <w:bookmarkEnd w:id="7"/>
      <w:r>
        <w:rPr>
          <w:rFonts w:hint="eastAsia" w:ascii="方正小标宋简体" w:hAnsi="方正小标宋简体" w:eastAsia="方正小标宋简体" w:cs="方正小标宋简体"/>
          <w:color w:val="auto"/>
          <w:sz w:val="44"/>
          <w:szCs w:val="44"/>
        </w:rPr>
        <w:t>基本情况</w:t>
      </w:r>
    </w:p>
    <w:p w14:paraId="59DE4DDD">
      <w:pPr>
        <w:spacing w:line="578" w:lineRule="exact"/>
        <w:ind w:firstLine="640" w:firstLineChars="200"/>
        <w:rPr>
          <w:rFonts w:hint="eastAsia" w:ascii="楷体" w:hAnsi="楷体" w:eastAsia="楷体" w:cs="楷体"/>
          <w:color w:val="auto"/>
          <w:sz w:val="32"/>
          <w:szCs w:val="32"/>
        </w:rPr>
      </w:pPr>
    </w:p>
    <w:p w14:paraId="4A3D8885">
      <w:pPr>
        <w:spacing w:line="578" w:lineRule="exact"/>
        <w:ind w:firstLine="640" w:firstLineChars="200"/>
        <w:rPr>
          <w:rFonts w:hint="eastAsia" w:ascii="方正黑体简体" w:hAnsi="方正黑体简体" w:eastAsia="方正黑体简体" w:cs="方正黑体简体"/>
          <w:color w:val="auto"/>
          <w:sz w:val="32"/>
          <w:szCs w:val="32"/>
        </w:rPr>
      </w:pPr>
      <w:r>
        <w:rPr>
          <w:rFonts w:hint="eastAsia" w:ascii="方正黑体简体" w:hAnsi="方正黑体简体" w:eastAsia="方正黑体简体" w:cs="方正黑体简体"/>
          <w:color w:val="auto"/>
          <w:sz w:val="32"/>
          <w:szCs w:val="32"/>
        </w:rPr>
        <w:t>一、部门</w:t>
      </w:r>
      <w:bookmarkEnd w:id="8"/>
      <w:r>
        <w:rPr>
          <w:rFonts w:hint="eastAsia" w:ascii="方正黑体简体" w:hAnsi="方正黑体简体" w:eastAsia="方正黑体简体" w:cs="方正黑体简体"/>
          <w:color w:val="auto"/>
          <w:sz w:val="32"/>
          <w:szCs w:val="32"/>
        </w:rPr>
        <w:t>（单位）职责</w:t>
      </w:r>
      <w:bookmarkEnd w:id="9"/>
      <w:bookmarkEnd w:id="10"/>
      <w:bookmarkEnd w:id="11"/>
      <w:bookmarkEnd w:id="12"/>
      <w:bookmarkEnd w:id="13"/>
    </w:p>
    <w:p w14:paraId="58BCB373">
      <w:pPr>
        <w:spacing w:line="560" w:lineRule="exact"/>
        <w:ind w:firstLine="640" w:firstLineChars="200"/>
        <w:rPr>
          <w:rFonts w:hint="eastAsia" w:ascii="方正仿宋简体" w:hAnsi="方正仿宋简体" w:eastAsia="方正仿宋简体" w:cs="方正仿宋简体"/>
          <w:color w:val="auto"/>
          <w:sz w:val="32"/>
        </w:rPr>
      </w:pPr>
      <w:r>
        <w:rPr>
          <w:rFonts w:hint="default" w:ascii="Times New Roman" w:hAnsi="Times New Roman" w:eastAsia="方正仿宋简体" w:cs="Times New Roman"/>
          <w:color w:val="auto"/>
          <w:sz w:val="32"/>
          <w:szCs w:val="32"/>
        </w:rPr>
        <w:t>1</w:t>
      </w:r>
      <w:r>
        <w:rPr>
          <w:rFonts w:hint="eastAsia" w:eastAsia="方正仿宋简体" w:cs="Times New Roman"/>
          <w:color w:val="auto"/>
          <w:sz w:val="32"/>
          <w:szCs w:val="32"/>
          <w:lang w:val="en-US" w:eastAsia="zh-CN"/>
        </w:rPr>
        <w:t>.</w:t>
      </w:r>
      <w:r>
        <w:rPr>
          <w:rFonts w:hint="default" w:ascii="Times New Roman" w:hAnsi="Times New Roman" w:eastAsia="方正仿宋简体" w:cs="Times New Roman"/>
          <w:color w:val="auto"/>
          <w:sz w:val="32"/>
        </w:rPr>
        <w:t>坚</w:t>
      </w:r>
      <w:r>
        <w:rPr>
          <w:rFonts w:hint="eastAsia" w:ascii="方正仿宋简体" w:hAnsi="方正仿宋简体" w:eastAsia="方正仿宋简体" w:cs="方正仿宋简体"/>
          <w:color w:val="auto"/>
          <w:sz w:val="32"/>
        </w:rPr>
        <w:t>持以习近平新时代中国特色社会主义思想为指导，贯彻落实习近平总书记关于治边稳藏的重要论述和一系列重要指示批示精神，贯彻落实党的路线方针政策和决策部署，增强“四个意识”、坚定“四个自信”、做到“两个维护”</w:t>
      </w:r>
      <w:r>
        <w:rPr>
          <w:rFonts w:hint="eastAsia" w:ascii="方正仿宋简体" w:hAnsi="方正仿宋简体" w:eastAsia="方正仿宋简体" w:cs="方正仿宋简体"/>
          <w:color w:val="auto"/>
          <w:sz w:val="32"/>
          <w:szCs w:val="32"/>
        </w:rPr>
        <w:t>；</w:t>
      </w:r>
    </w:p>
    <w:p w14:paraId="106FD091">
      <w:pPr>
        <w:spacing w:line="560" w:lineRule="exact"/>
        <w:ind w:firstLine="640" w:firstLineChars="200"/>
        <w:rPr>
          <w:rFonts w:hint="eastAsia" w:ascii="方正仿宋简体" w:hAnsi="方正仿宋简体" w:eastAsia="方正仿宋简体" w:cs="方正仿宋简体"/>
          <w:color w:val="auto"/>
          <w:sz w:val="32"/>
          <w:szCs w:val="32"/>
        </w:rPr>
      </w:pPr>
      <w:r>
        <w:rPr>
          <w:rFonts w:hint="default" w:ascii="Times New Roman" w:hAnsi="Times New Roman" w:eastAsia="方正仿宋简体" w:cs="Times New Roman"/>
          <w:color w:val="auto"/>
          <w:sz w:val="32"/>
          <w:szCs w:val="32"/>
        </w:rPr>
        <w:t>2</w:t>
      </w:r>
      <w:r>
        <w:rPr>
          <w:rFonts w:hint="eastAsia" w:eastAsia="方正仿宋简体" w:cs="Times New Roman"/>
          <w:color w:val="auto"/>
          <w:sz w:val="32"/>
          <w:szCs w:val="32"/>
          <w:lang w:val="en-US" w:eastAsia="zh-CN"/>
        </w:rPr>
        <w:t>.</w:t>
      </w:r>
      <w:r>
        <w:rPr>
          <w:rFonts w:hint="default" w:ascii="Times New Roman" w:hAnsi="Times New Roman" w:eastAsia="方正仿宋简体" w:cs="Times New Roman"/>
          <w:color w:val="auto"/>
          <w:sz w:val="32"/>
        </w:rPr>
        <w:t>协</w:t>
      </w:r>
      <w:r>
        <w:rPr>
          <w:rFonts w:hint="eastAsia" w:ascii="方正仿宋简体" w:hAnsi="方正仿宋简体" w:eastAsia="方正仿宋简体" w:cs="方正仿宋简体"/>
          <w:color w:val="auto"/>
          <w:sz w:val="32"/>
        </w:rPr>
        <w:t>助县委领导处理县委日常工作，协调联系乡镇和部门工作，沟通上下左右联系</w:t>
      </w:r>
      <w:r>
        <w:rPr>
          <w:rFonts w:hint="eastAsia" w:ascii="方正仿宋简体" w:hAnsi="方正仿宋简体" w:eastAsia="方正仿宋简体" w:cs="方正仿宋简体"/>
          <w:color w:val="auto"/>
          <w:sz w:val="32"/>
          <w:szCs w:val="32"/>
        </w:rPr>
        <w:t>；</w:t>
      </w:r>
    </w:p>
    <w:p w14:paraId="11777E38">
      <w:pPr>
        <w:spacing w:line="560" w:lineRule="exact"/>
        <w:ind w:firstLine="640" w:firstLineChars="200"/>
        <w:rPr>
          <w:rFonts w:hint="eastAsia" w:ascii="方正仿宋简体" w:hAnsi="方正仿宋简体" w:eastAsia="方正仿宋简体" w:cs="方正仿宋简体"/>
          <w:color w:val="auto"/>
          <w:sz w:val="32"/>
          <w:szCs w:val="32"/>
        </w:rPr>
      </w:pPr>
      <w:r>
        <w:rPr>
          <w:rFonts w:hint="default" w:ascii="Times New Roman" w:hAnsi="Times New Roman" w:eastAsia="方正仿宋简体" w:cs="Times New Roman"/>
          <w:color w:val="auto"/>
          <w:sz w:val="32"/>
          <w:szCs w:val="32"/>
        </w:rPr>
        <w:t>3</w:t>
      </w:r>
      <w:r>
        <w:rPr>
          <w:rFonts w:hint="eastAsia" w:eastAsia="方正仿宋简体" w:cs="Times New Roman"/>
          <w:color w:val="auto"/>
          <w:sz w:val="32"/>
          <w:szCs w:val="32"/>
          <w:lang w:val="en-US" w:eastAsia="zh-CN"/>
        </w:rPr>
        <w:t>.</w:t>
      </w:r>
      <w:r>
        <w:rPr>
          <w:rFonts w:hint="default" w:ascii="Times New Roman" w:hAnsi="Times New Roman" w:eastAsia="方正仿宋简体" w:cs="Times New Roman"/>
          <w:color w:val="auto"/>
          <w:sz w:val="32"/>
        </w:rPr>
        <w:t>负</w:t>
      </w:r>
      <w:r>
        <w:rPr>
          <w:rFonts w:hint="eastAsia" w:ascii="方正仿宋简体" w:hAnsi="方正仿宋简体" w:eastAsia="方正仿宋简体" w:cs="方正仿宋简体"/>
          <w:color w:val="auto"/>
          <w:sz w:val="32"/>
        </w:rPr>
        <w:t>责县委日常文书处理、县委领导同志公务活动的组织安排、县委各类会议的组织工作</w:t>
      </w:r>
      <w:r>
        <w:rPr>
          <w:rFonts w:hint="eastAsia" w:ascii="方正仿宋简体" w:hAnsi="方正仿宋简体" w:eastAsia="方正仿宋简体" w:cs="方正仿宋简体"/>
          <w:color w:val="auto"/>
          <w:sz w:val="32"/>
          <w:szCs w:val="32"/>
        </w:rPr>
        <w:t>；</w:t>
      </w:r>
    </w:p>
    <w:p w14:paraId="1CDB2EC0">
      <w:pPr>
        <w:spacing w:line="560" w:lineRule="exact"/>
        <w:ind w:firstLine="640" w:firstLineChars="200"/>
        <w:rPr>
          <w:rFonts w:hint="eastAsia" w:ascii="方正仿宋简体" w:hAnsi="方正仿宋简体" w:eastAsia="方正仿宋简体" w:cs="方正仿宋简体"/>
          <w:color w:val="auto"/>
          <w:sz w:val="32"/>
          <w:szCs w:val="32"/>
        </w:rPr>
      </w:pPr>
      <w:r>
        <w:rPr>
          <w:rFonts w:hint="default" w:ascii="Times New Roman" w:hAnsi="Times New Roman" w:eastAsia="方正仿宋简体" w:cs="Times New Roman"/>
          <w:color w:val="auto"/>
          <w:sz w:val="32"/>
          <w:szCs w:val="32"/>
        </w:rPr>
        <w:t>4</w:t>
      </w:r>
      <w:r>
        <w:rPr>
          <w:rFonts w:hint="eastAsia" w:eastAsia="方正仿宋简体" w:cs="Times New Roman"/>
          <w:color w:val="auto"/>
          <w:sz w:val="32"/>
          <w:szCs w:val="32"/>
          <w:lang w:val="en-US" w:eastAsia="zh-CN"/>
        </w:rPr>
        <w:t>.</w:t>
      </w:r>
      <w:r>
        <w:rPr>
          <w:rFonts w:hint="default" w:ascii="Times New Roman" w:hAnsi="Times New Roman" w:eastAsia="方正仿宋简体" w:cs="Times New Roman"/>
          <w:color w:val="auto"/>
          <w:sz w:val="32"/>
        </w:rPr>
        <w:t>负责</w:t>
      </w:r>
      <w:r>
        <w:rPr>
          <w:rFonts w:hint="eastAsia" w:ascii="方正仿宋简体" w:hAnsi="方正仿宋简体" w:eastAsia="方正仿宋简体" w:cs="方正仿宋简体"/>
          <w:color w:val="auto"/>
          <w:sz w:val="32"/>
        </w:rPr>
        <w:t>县委文件、文稿的起草、批办、审核和印发工作</w:t>
      </w:r>
      <w:r>
        <w:rPr>
          <w:rFonts w:hint="eastAsia" w:ascii="方正仿宋简体" w:hAnsi="方正仿宋简体" w:eastAsia="方正仿宋简体" w:cs="方正仿宋简体"/>
          <w:color w:val="auto"/>
          <w:sz w:val="32"/>
          <w:szCs w:val="32"/>
        </w:rPr>
        <w:t>；</w:t>
      </w:r>
    </w:p>
    <w:p w14:paraId="2CEF6A22">
      <w:pPr>
        <w:spacing w:line="560" w:lineRule="exact"/>
        <w:ind w:firstLine="640" w:firstLineChars="200"/>
        <w:rPr>
          <w:rFonts w:hint="eastAsia" w:ascii="方正仿宋简体" w:hAnsi="方正仿宋简体" w:eastAsia="方正仿宋简体" w:cs="方正仿宋简体"/>
          <w:color w:val="auto"/>
          <w:sz w:val="32"/>
          <w:szCs w:val="32"/>
        </w:rPr>
      </w:pPr>
      <w:r>
        <w:rPr>
          <w:rFonts w:hint="default" w:ascii="Times New Roman" w:hAnsi="Times New Roman" w:eastAsia="方正仿宋简体" w:cs="Times New Roman"/>
          <w:color w:val="auto"/>
          <w:sz w:val="32"/>
          <w:szCs w:val="32"/>
        </w:rPr>
        <w:t>5.</w:t>
      </w:r>
      <w:r>
        <w:rPr>
          <w:rFonts w:hint="default" w:ascii="Times New Roman" w:hAnsi="Times New Roman" w:eastAsia="方正仿宋简体" w:cs="Times New Roman"/>
          <w:color w:val="auto"/>
          <w:sz w:val="32"/>
        </w:rPr>
        <w:t>围绕</w:t>
      </w:r>
      <w:r>
        <w:rPr>
          <w:rFonts w:hint="eastAsia" w:ascii="方正仿宋简体" w:hAnsi="方正仿宋简体" w:eastAsia="方正仿宋简体" w:cs="方正仿宋简体"/>
          <w:color w:val="auto"/>
          <w:sz w:val="32"/>
        </w:rPr>
        <w:t>县委中心工作开展调查研究，及时准确的向县委领导和上级党委反应各方面的情况，并提供切实可行的建议</w:t>
      </w:r>
      <w:r>
        <w:rPr>
          <w:rFonts w:hint="eastAsia" w:ascii="方正仿宋简体" w:hAnsi="方正仿宋简体" w:eastAsia="方正仿宋简体" w:cs="方正仿宋简体"/>
          <w:color w:val="auto"/>
          <w:sz w:val="32"/>
          <w:szCs w:val="32"/>
        </w:rPr>
        <w:t>；</w:t>
      </w:r>
    </w:p>
    <w:p w14:paraId="32A03A6E">
      <w:pPr>
        <w:spacing w:line="560" w:lineRule="exact"/>
        <w:ind w:firstLine="640" w:firstLineChars="200"/>
        <w:rPr>
          <w:rFonts w:hint="eastAsia" w:ascii="方正仿宋简体" w:hAnsi="方正仿宋简体" w:eastAsia="方正仿宋简体" w:cs="方正仿宋简体"/>
          <w:color w:val="auto"/>
          <w:sz w:val="32"/>
          <w:szCs w:val="32"/>
        </w:rPr>
      </w:pPr>
      <w:r>
        <w:rPr>
          <w:rFonts w:hint="default" w:ascii="Times New Roman" w:hAnsi="Times New Roman" w:eastAsia="方正仿宋简体" w:cs="Times New Roman"/>
          <w:color w:val="auto"/>
          <w:sz w:val="32"/>
          <w:szCs w:val="32"/>
        </w:rPr>
        <w:t>6</w:t>
      </w:r>
      <w:r>
        <w:rPr>
          <w:rFonts w:hint="eastAsia" w:eastAsia="方正仿宋简体" w:cs="Times New Roman"/>
          <w:color w:val="auto"/>
          <w:sz w:val="32"/>
          <w:szCs w:val="32"/>
          <w:lang w:val="en-US" w:eastAsia="zh-CN"/>
        </w:rPr>
        <w:t>.</w:t>
      </w:r>
      <w:r>
        <w:rPr>
          <w:rFonts w:hint="default" w:ascii="Times New Roman" w:hAnsi="Times New Roman" w:eastAsia="方正仿宋简体" w:cs="Times New Roman"/>
          <w:color w:val="auto"/>
          <w:sz w:val="32"/>
        </w:rPr>
        <w:t>及时</w:t>
      </w:r>
      <w:r>
        <w:rPr>
          <w:rFonts w:hint="eastAsia" w:ascii="方正仿宋简体" w:hAnsi="方正仿宋简体" w:eastAsia="方正仿宋简体" w:cs="方正仿宋简体"/>
          <w:color w:val="auto"/>
          <w:sz w:val="32"/>
        </w:rPr>
        <w:t>收集、筛选、综合整理各类情况，全面准确地为县委领导、上级党委报送信息</w:t>
      </w:r>
      <w:r>
        <w:rPr>
          <w:rFonts w:hint="eastAsia" w:ascii="方正仿宋简体" w:hAnsi="方正仿宋简体" w:eastAsia="方正仿宋简体" w:cs="方正仿宋简体"/>
          <w:color w:val="auto"/>
          <w:sz w:val="32"/>
          <w:szCs w:val="32"/>
        </w:rPr>
        <w:t>；</w:t>
      </w:r>
    </w:p>
    <w:p w14:paraId="1DD9E2C5">
      <w:pPr>
        <w:spacing w:line="560" w:lineRule="exact"/>
        <w:ind w:firstLine="640" w:firstLineChars="200"/>
        <w:rPr>
          <w:rFonts w:hint="eastAsia" w:ascii="方正仿宋简体" w:hAnsi="方正仿宋简体" w:eastAsia="方正仿宋简体" w:cs="方正仿宋简体"/>
          <w:color w:val="auto"/>
          <w:sz w:val="32"/>
          <w:szCs w:val="32"/>
        </w:rPr>
      </w:pPr>
      <w:r>
        <w:rPr>
          <w:rFonts w:hint="default" w:ascii="Times New Roman" w:hAnsi="Times New Roman" w:eastAsia="方正仿宋简体" w:cs="Times New Roman"/>
          <w:color w:val="auto"/>
          <w:sz w:val="32"/>
          <w:szCs w:val="32"/>
        </w:rPr>
        <w:t>7</w:t>
      </w:r>
      <w:r>
        <w:rPr>
          <w:rFonts w:hint="eastAsia" w:eastAsia="方正仿宋简体" w:cs="Times New Roman"/>
          <w:color w:val="auto"/>
          <w:sz w:val="32"/>
          <w:szCs w:val="32"/>
          <w:lang w:val="en-US" w:eastAsia="zh-CN"/>
        </w:rPr>
        <w:t>.</w:t>
      </w:r>
      <w:r>
        <w:rPr>
          <w:rFonts w:hint="default" w:ascii="Times New Roman" w:hAnsi="Times New Roman" w:eastAsia="方正仿宋简体" w:cs="Times New Roman"/>
          <w:color w:val="auto"/>
          <w:sz w:val="32"/>
        </w:rPr>
        <w:t>围</w:t>
      </w:r>
      <w:r>
        <w:rPr>
          <w:rFonts w:hint="eastAsia" w:ascii="方正仿宋简体" w:hAnsi="方正仿宋简体" w:eastAsia="方正仿宋简体" w:cs="方正仿宋简体"/>
          <w:color w:val="auto"/>
          <w:sz w:val="32"/>
        </w:rPr>
        <w:t>绕县委重大决策和工作部署，进行督促检查，做好领导重要批示件、新闻舆论批评和群众反映的突出问题的查办工作</w:t>
      </w:r>
      <w:r>
        <w:rPr>
          <w:rFonts w:hint="eastAsia" w:ascii="方正仿宋简体" w:hAnsi="方正仿宋简体" w:eastAsia="方正仿宋简体" w:cs="方正仿宋简体"/>
          <w:color w:val="auto"/>
          <w:sz w:val="32"/>
          <w:szCs w:val="32"/>
        </w:rPr>
        <w:t>；</w:t>
      </w:r>
    </w:p>
    <w:p w14:paraId="096A749E">
      <w:pPr>
        <w:spacing w:line="560" w:lineRule="exact"/>
        <w:ind w:firstLine="640" w:firstLineChars="200"/>
        <w:rPr>
          <w:rFonts w:hint="eastAsia" w:ascii="方正仿宋简体" w:hAnsi="方正仿宋简体" w:eastAsia="方正仿宋简体" w:cs="方正仿宋简体"/>
          <w:color w:val="auto"/>
          <w:sz w:val="32"/>
          <w:szCs w:val="32"/>
        </w:rPr>
      </w:pPr>
      <w:r>
        <w:rPr>
          <w:rFonts w:hint="default" w:ascii="Times New Roman" w:hAnsi="Times New Roman" w:eastAsia="方正仿宋简体" w:cs="Times New Roman"/>
          <w:color w:val="auto"/>
          <w:sz w:val="32"/>
          <w:szCs w:val="32"/>
        </w:rPr>
        <w:t>8.负</w:t>
      </w:r>
      <w:r>
        <w:rPr>
          <w:rFonts w:hint="eastAsia" w:ascii="方正仿宋简体" w:hAnsi="方正仿宋简体" w:eastAsia="方正仿宋简体" w:cs="方正仿宋简体"/>
          <w:color w:val="auto"/>
          <w:sz w:val="32"/>
          <w:szCs w:val="32"/>
        </w:rPr>
        <w:t>责全县党政密码通信、密码管理和密码保密管理工作；中央、自治区、市委、县委文件和县级重要机密件的传递。</w:t>
      </w:r>
    </w:p>
    <w:p w14:paraId="48E21C40">
      <w:pPr>
        <w:spacing w:line="560" w:lineRule="exact"/>
        <w:ind w:firstLine="640" w:firstLineChars="200"/>
        <w:rPr>
          <w:rFonts w:hint="eastAsia" w:ascii="方正仿宋简体" w:hAnsi="方正仿宋简体" w:eastAsia="方正仿宋简体" w:cs="方正仿宋简体"/>
          <w:color w:val="auto"/>
          <w:sz w:val="32"/>
          <w:szCs w:val="32"/>
        </w:rPr>
      </w:pPr>
      <w:r>
        <w:rPr>
          <w:rFonts w:hint="default" w:ascii="Times New Roman" w:hAnsi="Times New Roman" w:eastAsia="方正仿宋简体" w:cs="Times New Roman"/>
          <w:color w:val="auto"/>
          <w:sz w:val="32"/>
          <w:szCs w:val="32"/>
        </w:rPr>
        <w:t>9.承办</w:t>
      </w:r>
      <w:r>
        <w:rPr>
          <w:rFonts w:hint="eastAsia" w:ascii="方正仿宋简体" w:hAnsi="方正仿宋简体" w:eastAsia="方正仿宋简体" w:cs="方正仿宋简体"/>
          <w:color w:val="auto"/>
          <w:sz w:val="32"/>
          <w:szCs w:val="32"/>
        </w:rPr>
        <w:t>县委和上级业务部门交办的其他工作。</w:t>
      </w:r>
    </w:p>
    <w:p w14:paraId="2F248CE3">
      <w:pPr>
        <w:spacing w:line="578" w:lineRule="exact"/>
        <w:ind w:firstLine="640" w:firstLineChars="200"/>
        <w:rPr>
          <w:rFonts w:hint="eastAsia" w:ascii="方正黑体简体" w:hAnsi="方正黑体简体" w:eastAsia="方正黑体简体" w:cs="方正黑体简体"/>
          <w:color w:val="auto"/>
          <w:sz w:val="32"/>
          <w:szCs w:val="32"/>
        </w:rPr>
      </w:pPr>
      <w:bookmarkStart w:id="14" w:name="_Toc24059_WPSOffice_Level2"/>
      <w:bookmarkStart w:id="15" w:name="_Toc4833_WPSOffice_Level2"/>
      <w:bookmarkStart w:id="16" w:name="_Toc17796_WPSOffice_Level2"/>
      <w:bookmarkStart w:id="17" w:name="_Toc24474_WPSOffice_Level2"/>
      <w:bookmarkStart w:id="18" w:name="_Toc6572_WPSOffice_Level2"/>
      <w:r>
        <w:rPr>
          <w:rFonts w:hint="eastAsia" w:ascii="方正黑体简体" w:hAnsi="方正黑体简体" w:eastAsia="方正黑体简体" w:cs="方正黑体简体"/>
          <w:color w:val="auto"/>
          <w:sz w:val="32"/>
          <w:szCs w:val="32"/>
        </w:rPr>
        <w:t>二、机构设置</w:t>
      </w:r>
      <w:bookmarkEnd w:id="14"/>
      <w:bookmarkEnd w:id="15"/>
      <w:bookmarkEnd w:id="16"/>
      <w:bookmarkEnd w:id="17"/>
      <w:bookmarkEnd w:id="18"/>
    </w:p>
    <w:p w14:paraId="39C7CA7E">
      <w:pPr>
        <w:spacing w:line="560" w:lineRule="exact"/>
        <w:ind w:firstLine="640" w:firstLineChars="200"/>
        <w:rPr>
          <w:rFonts w:hint="eastAsia" w:ascii="方正仿宋简体" w:hAnsi="方正仿宋简体" w:eastAsia="方正仿宋简体" w:cs="方正仿宋简体"/>
          <w:color w:val="auto"/>
          <w:sz w:val="32"/>
        </w:rPr>
      </w:pPr>
      <w:r>
        <w:rPr>
          <w:rFonts w:hint="eastAsia" w:ascii="方正仿宋简体" w:hAnsi="方正仿宋简体" w:eastAsia="方正仿宋简体" w:cs="方正仿宋简体"/>
          <w:color w:val="auto"/>
          <w:sz w:val="32"/>
        </w:rPr>
        <w:t>县委办是县委的办事机构，列县委工作机关序列，承担县委</w:t>
      </w:r>
      <w:r>
        <w:rPr>
          <w:rFonts w:hint="default" w:ascii="Times New Roman" w:hAnsi="Times New Roman" w:eastAsia="方正仿宋简体" w:cs="Times New Roman"/>
          <w:color w:val="auto"/>
          <w:sz w:val="32"/>
        </w:rPr>
        <w:t>日常工作。社会统一信用代码为11542423K39845954P。人员编制</w:t>
      </w:r>
      <w:r>
        <w:rPr>
          <w:rFonts w:hint="default" w:ascii="Times New Roman" w:hAnsi="Times New Roman" w:eastAsia="方正仿宋简体" w:cs="Times New Roman"/>
          <w:color w:val="auto"/>
          <w:sz w:val="32"/>
          <w:lang w:val="en-US" w:eastAsia="zh-CN"/>
        </w:rPr>
        <w:t>7</w:t>
      </w:r>
      <w:r>
        <w:rPr>
          <w:rFonts w:hint="default" w:ascii="Times New Roman" w:hAnsi="Times New Roman" w:eastAsia="方正仿宋简体" w:cs="Times New Roman"/>
          <w:color w:val="auto"/>
          <w:sz w:val="32"/>
        </w:rPr>
        <w:t>人，行政人员编制</w:t>
      </w:r>
      <w:r>
        <w:rPr>
          <w:rFonts w:hint="default" w:ascii="Times New Roman" w:hAnsi="Times New Roman" w:eastAsia="方正仿宋简体" w:cs="Times New Roman"/>
          <w:color w:val="auto"/>
          <w:sz w:val="32"/>
          <w:lang w:val="en-US" w:eastAsia="zh-CN"/>
        </w:rPr>
        <w:t>7</w:t>
      </w:r>
      <w:r>
        <w:rPr>
          <w:rFonts w:hint="default" w:ascii="Times New Roman" w:hAnsi="Times New Roman" w:eastAsia="方正仿宋简体" w:cs="Times New Roman"/>
          <w:color w:val="auto"/>
          <w:sz w:val="32"/>
        </w:rPr>
        <w:t>人。</w:t>
      </w:r>
    </w:p>
    <w:p w14:paraId="149848AF">
      <w:pPr>
        <w:spacing w:line="578" w:lineRule="exact"/>
        <w:jc w:val="center"/>
        <w:rPr>
          <w:rFonts w:hint="eastAsia" w:ascii="黑体" w:hAnsi="ˎ̥" w:eastAsia="黑体"/>
          <w:color w:val="auto"/>
          <w:sz w:val="32"/>
          <w:szCs w:val="32"/>
        </w:rPr>
      </w:pPr>
      <w:bookmarkStart w:id="19" w:name="_Toc15521_WPSOffice_Level1"/>
      <w:bookmarkStart w:id="20" w:name="_Toc28253_WPSOffice_Level1"/>
      <w:bookmarkStart w:id="21" w:name="_Toc30451_WPSOffice_Level1"/>
      <w:bookmarkStart w:id="22" w:name="_Toc8164_WPSOffice_Level1"/>
      <w:bookmarkStart w:id="23" w:name="_Toc30690_WPSOffice_Level1"/>
      <w:bookmarkStart w:id="24" w:name="_Toc6234_WPSOffice_Level1"/>
      <w:bookmarkStart w:id="25" w:name="_Toc6211_WPSOffice_Level2"/>
      <w:bookmarkStart w:id="26" w:name="_Toc32472_WPSOffice_Level2"/>
      <w:bookmarkStart w:id="27" w:name="_Toc32695_WPSOffice_Level2"/>
      <w:bookmarkStart w:id="28" w:name="_Toc8867_WPSOffice_Level2"/>
      <w:bookmarkStart w:id="29" w:name="_Toc4029_WPSOffice_Level2"/>
      <w:bookmarkStart w:id="30" w:name="_Toc11518_WPSOffice_Level2"/>
    </w:p>
    <w:p w14:paraId="16300494">
      <w:pPr>
        <w:spacing w:line="578" w:lineRule="exact"/>
        <w:jc w:val="center"/>
        <w:rPr>
          <w:rFonts w:hint="eastAsia" w:ascii="黑体" w:hAnsi="ˎ̥" w:eastAsia="黑体"/>
          <w:color w:val="auto"/>
          <w:sz w:val="32"/>
          <w:szCs w:val="32"/>
        </w:rPr>
      </w:pPr>
    </w:p>
    <w:p w14:paraId="3C7D5308">
      <w:pPr>
        <w:spacing w:line="578" w:lineRule="exact"/>
        <w:jc w:val="center"/>
        <w:rPr>
          <w:rFonts w:hint="eastAsia" w:ascii="黑体" w:hAnsi="ˎ̥" w:eastAsia="黑体"/>
          <w:color w:val="auto"/>
          <w:sz w:val="32"/>
          <w:szCs w:val="32"/>
        </w:rPr>
      </w:pPr>
    </w:p>
    <w:p w14:paraId="3181B0C9">
      <w:pPr>
        <w:spacing w:line="578" w:lineRule="exact"/>
        <w:jc w:val="center"/>
        <w:rPr>
          <w:rFonts w:hint="eastAsia" w:ascii="黑体" w:hAnsi="ˎ̥" w:eastAsia="黑体"/>
          <w:color w:val="auto"/>
          <w:sz w:val="32"/>
          <w:szCs w:val="32"/>
        </w:rPr>
      </w:pPr>
    </w:p>
    <w:p w14:paraId="2512B76A">
      <w:pPr>
        <w:spacing w:line="578" w:lineRule="exact"/>
        <w:jc w:val="center"/>
        <w:rPr>
          <w:rFonts w:hint="eastAsia" w:ascii="黑体" w:hAnsi="ˎ̥" w:eastAsia="黑体"/>
          <w:color w:val="auto"/>
          <w:sz w:val="32"/>
          <w:szCs w:val="32"/>
        </w:rPr>
      </w:pPr>
    </w:p>
    <w:p w14:paraId="4EC02214">
      <w:pPr>
        <w:spacing w:line="578" w:lineRule="exact"/>
        <w:jc w:val="center"/>
        <w:rPr>
          <w:rFonts w:hint="eastAsia" w:ascii="黑体" w:hAnsi="ˎ̥" w:eastAsia="黑体"/>
          <w:color w:val="auto"/>
          <w:sz w:val="32"/>
          <w:szCs w:val="32"/>
        </w:rPr>
      </w:pPr>
    </w:p>
    <w:p w14:paraId="763FCF8A">
      <w:pPr>
        <w:spacing w:line="578" w:lineRule="exact"/>
        <w:jc w:val="center"/>
        <w:rPr>
          <w:rFonts w:hint="eastAsia" w:ascii="黑体" w:hAnsi="ˎ̥" w:eastAsia="黑体"/>
          <w:color w:val="auto"/>
          <w:sz w:val="32"/>
          <w:szCs w:val="32"/>
        </w:rPr>
      </w:pPr>
    </w:p>
    <w:p w14:paraId="744E07F5">
      <w:pPr>
        <w:spacing w:line="578" w:lineRule="exact"/>
        <w:jc w:val="center"/>
        <w:rPr>
          <w:rFonts w:hint="eastAsia" w:ascii="黑体" w:hAnsi="ˎ̥" w:eastAsia="黑体"/>
          <w:color w:val="auto"/>
          <w:sz w:val="32"/>
          <w:szCs w:val="32"/>
        </w:rPr>
      </w:pPr>
    </w:p>
    <w:p w14:paraId="0C14DA04">
      <w:pPr>
        <w:spacing w:line="578" w:lineRule="exact"/>
        <w:jc w:val="center"/>
        <w:rPr>
          <w:rFonts w:hint="eastAsia" w:ascii="黑体" w:hAnsi="ˎ̥" w:eastAsia="黑体"/>
          <w:color w:val="auto"/>
          <w:sz w:val="32"/>
          <w:szCs w:val="32"/>
        </w:rPr>
      </w:pPr>
    </w:p>
    <w:p w14:paraId="5941FE0F">
      <w:pPr>
        <w:spacing w:line="578" w:lineRule="exact"/>
        <w:jc w:val="center"/>
        <w:rPr>
          <w:rFonts w:hint="eastAsia" w:ascii="黑体" w:hAnsi="ˎ̥" w:eastAsia="黑体"/>
          <w:color w:val="auto"/>
          <w:sz w:val="32"/>
          <w:szCs w:val="32"/>
        </w:rPr>
      </w:pPr>
    </w:p>
    <w:p w14:paraId="101ADC12">
      <w:pPr>
        <w:spacing w:line="578" w:lineRule="exact"/>
        <w:jc w:val="center"/>
        <w:rPr>
          <w:rFonts w:hint="eastAsia" w:ascii="黑体" w:hAnsi="ˎ̥" w:eastAsia="黑体"/>
          <w:color w:val="auto"/>
          <w:sz w:val="32"/>
          <w:szCs w:val="32"/>
        </w:rPr>
      </w:pPr>
    </w:p>
    <w:p w14:paraId="5759F7CA">
      <w:pPr>
        <w:spacing w:line="578" w:lineRule="exact"/>
        <w:jc w:val="center"/>
        <w:rPr>
          <w:rFonts w:hint="eastAsia" w:ascii="黑体" w:hAnsi="ˎ̥" w:eastAsia="黑体"/>
          <w:color w:val="auto"/>
          <w:sz w:val="32"/>
          <w:szCs w:val="32"/>
        </w:rPr>
      </w:pPr>
    </w:p>
    <w:p w14:paraId="0426F5CE">
      <w:pPr>
        <w:spacing w:line="578" w:lineRule="exact"/>
        <w:jc w:val="center"/>
        <w:rPr>
          <w:rFonts w:hint="eastAsia" w:ascii="黑体" w:hAnsi="ˎ̥" w:eastAsia="黑体"/>
          <w:color w:val="auto"/>
          <w:sz w:val="32"/>
          <w:szCs w:val="32"/>
        </w:rPr>
      </w:pPr>
    </w:p>
    <w:p w14:paraId="4617DCEA">
      <w:pPr>
        <w:spacing w:line="578" w:lineRule="exact"/>
        <w:jc w:val="center"/>
        <w:rPr>
          <w:rFonts w:hint="eastAsia" w:ascii="黑体" w:hAnsi="ˎ̥" w:eastAsia="黑体"/>
          <w:color w:val="auto"/>
          <w:sz w:val="32"/>
          <w:szCs w:val="32"/>
        </w:rPr>
      </w:pPr>
    </w:p>
    <w:p w14:paraId="1C91A5C9">
      <w:pPr>
        <w:spacing w:line="578" w:lineRule="exact"/>
        <w:jc w:val="center"/>
        <w:rPr>
          <w:rFonts w:hint="eastAsia" w:ascii="黑体" w:hAnsi="ˎ̥" w:eastAsia="黑体"/>
          <w:color w:val="auto"/>
          <w:sz w:val="32"/>
          <w:szCs w:val="32"/>
        </w:rPr>
      </w:pPr>
    </w:p>
    <w:p w14:paraId="72083DAF">
      <w:pPr>
        <w:spacing w:line="578" w:lineRule="exact"/>
        <w:jc w:val="center"/>
        <w:rPr>
          <w:rFonts w:hint="eastAsia" w:ascii="黑体" w:hAnsi="ˎ̥" w:eastAsia="黑体"/>
          <w:color w:val="auto"/>
          <w:sz w:val="32"/>
          <w:szCs w:val="32"/>
        </w:rPr>
      </w:pPr>
    </w:p>
    <w:p w14:paraId="087C6913">
      <w:pPr>
        <w:spacing w:line="578" w:lineRule="exact"/>
        <w:jc w:val="center"/>
        <w:rPr>
          <w:rFonts w:hint="eastAsia" w:ascii="黑体" w:hAnsi="ˎ̥" w:eastAsia="黑体"/>
          <w:color w:val="auto"/>
          <w:sz w:val="32"/>
          <w:szCs w:val="32"/>
        </w:rPr>
      </w:pPr>
    </w:p>
    <w:p w14:paraId="03310072">
      <w:pPr>
        <w:spacing w:line="578" w:lineRule="exact"/>
        <w:jc w:val="center"/>
        <w:rPr>
          <w:rFonts w:hint="eastAsia" w:ascii="黑体" w:hAnsi="ˎ̥" w:eastAsia="黑体"/>
          <w:color w:val="auto"/>
          <w:sz w:val="32"/>
          <w:szCs w:val="32"/>
        </w:rPr>
      </w:pPr>
    </w:p>
    <w:p w14:paraId="68A0AD9F">
      <w:pPr>
        <w:spacing w:line="578" w:lineRule="exact"/>
        <w:jc w:val="center"/>
        <w:rPr>
          <w:rFonts w:hint="eastAsia" w:ascii="黑体" w:hAnsi="ˎ̥" w:eastAsia="黑体"/>
          <w:color w:val="auto"/>
          <w:sz w:val="32"/>
          <w:szCs w:val="32"/>
        </w:rPr>
      </w:pPr>
    </w:p>
    <w:p w14:paraId="5ABA64D5">
      <w:pPr>
        <w:spacing w:line="57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 xml:space="preserve">第二部分  </w:t>
      </w:r>
      <w:r>
        <w:rPr>
          <w:rFonts w:hint="eastAsia" w:ascii="方正小标宋简体" w:hAnsi="方正小标宋简体" w:eastAsia="方正小标宋简体" w:cs="方正小标宋简体"/>
          <w:color w:val="auto"/>
          <w:sz w:val="44"/>
          <w:szCs w:val="44"/>
          <w:lang w:val="en-US"/>
        </w:rPr>
        <w:t>2025</w:t>
      </w:r>
      <w:r>
        <w:rPr>
          <w:rFonts w:hint="eastAsia" w:ascii="方正小标宋简体" w:hAnsi="方正小标宋简体" w:eastAsia="方正小标宋简体" w:cs="方正小标宋简体"/>
          <w:color w:val="auto"/>
          <w:sz w:val="44"/>
          <w:szCs w:val="44"/>
        </w:rPr>
        <w:t>年度部门决算公开报表</w:t>
      </w:r>
      <w:bookmarkEnd w:id="19"/>
      <w:bookmarkEnd w:id="20"/>
      <w:bookmarkEnd w:id="21"/>
      <w:bookmarkEnd w:id="22"/>
      <w:bookmarkEnd w:id="23"/>
      <w:bookmarkEnd w:id="24"/>
    </w:p>
    <w:p w14:paraId="1A7D1292">
      <w:pPr>
        <w:spacing w:line="578" w:lineRule="exact"/>
        <w:ind w:firstLine="645"/>
        <w:rPr>
          <w:rFonts w:hint="eastAsia" w:ascii="黑体" w:hAnsi="黑体" w:eastAsia="黑体" w:cs="黑体"/>
          <w:color w:val="auto"/>
          <w:sz w:val="32"/>
          <w:szCs w:val="32"/>
        </w:rPr>
      </w:pPr>
    </w:p>
    <w:p w14:paraId="4609FEC3">
      <w:pPr>
        <w:spacing w:line="578" w:lineRule="exact"/>
        <w:ind w:firstLine="645"/>
        <w:rPr>
          <w:rFonts w:hint="eastAsia" w:ascii="方正黑体简体" w:hAnsi="方正黑体简体" w:eastAsia="方正黑体简体" w:cs="方正黑体简体"/>
          <w:b w:val="0"/>
          <w:bCs w:val="0"/>
          <w:color w:val="auto"/>
          <w:sz w:val="32"/>
          <w:szCs w:val="32"/>
        </w:rPr>
      </w:pPr>
      <w:r>
        <w:rPr>
          <w:rFonts w:hint="eastAsia" w:ascii="方正黑体简体" w:hAnsi="方正黑体简体" w:eastAsia="方正黑体简体" w:cs="方正黑体简体"/>
          <w:b w:val="0"/>
          <w:bCs w:val="0"/>
          <w:color w:val="auto"/>
          <w:sz w:val="32"/>
          <w:szCs w:val="32"/>
        </w:rPr>
        <w:t>一、收入支出决算公开表</w:t>
      </w:r>
      <w:bookmarkEnd w:id="25"/>
      <w:bookmarkEnd w:id="26"/>
      <w:bookmarkEnd w:id="27"/>
      <w:bookmarkEnd w:id="28"/>
      <w:bookmarkEnd w:id="29"/>
      <w:bookmarkEnd w:id="30"/>
    </w:p>
    <w:p w14:paraId="646AEC68">
      <w:pPr>
        <w:spacing w:line="578" w:lineRule="exact"/>
        <w:ind w:firstLine="645"/>
        <w:rPr>
          <w:rFonts w:hint="eastAsia" w:ascii="方正黑体简体" w:hAnsi="方正黑体简体" w:eastAsia="方正黑体简体" w:cs="方正黑体简体"/>
          <w:b w:val="0"/>
          <w:bCs w:val="0"/>
          <w:color w:val="auto"/>
          <w:sz w:val="32"/>
          <w:szCs w:val="32"/>
        </w:rPr>
      </w:pPr>
      <w:bookmarkStart w:id="31" w:name="_Toc14349_WPSOffice_Level2"/>
      <w:bookmarkStart w:id="32" w:name="_Toc30334_WPSOffice_Level2"/>
      <w:bookmarkStart w:id="33" w:name="_Toc28622_WPSOffice_Level2"/>
      <w:bookmarkStart w:id="34" w:name="_Toc23139_WPSOffice_Level2"/>
      <w:bookmarkStart w:id="35" w:name="_Toc26621_WPSOffice_Level2"/>
      <w:bookmarkStart w:id="36" w:name="_Toc25608_WPSOffice_Level2"/>
      <w:r>
        <w:rPr>
          <w:rFonts w:hint="eastAsia" w:ascii="方正黑体简体" w:hAnsi="方正黑体简体" w:eastAsia="方正黑体简体" w:cs="方正黑体简体"/>
          <w:b w:val="0"/>
          <w:bCs w:val="0"/>
          <w:color w:val="auto"/>
          <w:sz w:val="32"/>
          <w:szCs w:val="32"/>
        </w:rPr>
        <w:t>二、收入决算公开表</w:t>
      </w:r>
      <w:bookmarkEnd w:id="31"/>
      <w:bookmarkEnd w:id="32"/>
      <w:bookmarkEnd w:id="33"/>
      <w:bookmarkEnd w:id="34"/>
      <w:bookmarkEnd w:id="35"/>
      <w:bookmarkEnd w:id="36"/>
      <w:bookmarkStart w:id="37" w:name="_Toc5489_WPSOffice_Level2"/>
      <w:bookmarkStart w:id="38" w:name="_Toc17858_WPSOffice_Level2"/>
      <w:bookmarkStart w:id="39" w:name="_Toc17626_WPSOffice_Level2"/>
      <w:bookmarkStart w:id="40" w:name="_Toc13854_WPSOffice_Level2"/>
      <w:bookmarkStart w:id="41" w:name="_Toc14658_WPSOffice_Level2"/>
      <w:bookmarkStart w:id="42" w:name="_Toc3262_WPSOffice_Level2"/>
    </w:p>
    <w:p w14:paraId="2D43FEAF">
      <w:pPr>
        <w:spacing w:line="578" w:lineRule="exact"/>
        <w:ind w:firstLine="645"/>
        <w:rPr>
          <w:rFonts w:hint="eastAsia" w:ascii="方正黑体简体" w:hAnsi="方正黑体简体" w:eastAsia="方正黑体简体" w:cs="方正黑体简体"/>
          <w:b w:val="0"/>
          <w:bCs w:val="0"/>
          <w:color w:val="auto"/>
          <w:sz w:val="32"/>
          <w:szCs w:val="32"/>
        </w:rPr>
      </w:pPr>
      <w:r>
        <w:rPr>
          <w:rFonts w:hint="eastAsia" w:ascii="方正黑体简体" w:hAnsi="方正黑体简体" w:eastAsia="方正黑体简体" w:cs="方正黑体简体"/>
          <w:b w:val="0"/>
          <w:bCs w:val="0"/>
          <w:color w:val="auto"/>
          <w:sz w:val="32"/>
          <w:szCs w:val="32"/>
        </w:rPr>
        <w:t>三、支出决算公开表</w:t>
      </w:r>
      <w:bookmarkEnd w:id="37"/>
      <w:bookmarkEnd w:id="38"/>
      <w:bookmarkEnd w:id="39"/>
      <w:bookmarkEnd w:id="40"/>
      <w:bookmarkEnd w:id="41"/>
      <w:bookmarkEnd w:id="42"/>
      <w:bookmarkStart w:id="43" w:name="_Toc13701_WPSOffice_Level2"/>
      <w:bookmarkStart w:id="44" w:name="_Toc7988_WPSOffice_Level2"/>
      <w:bookmarkStart w:id="45" w:name="_Toc4265_WPSOffice_Level2"/>
      <w:bookmarkStart w:id="46" w:name="_Toc23591_WPSOffice_Level2"/>
      <w:bookmarkStart w:id="47" w:name="_Toc23493_WPSOffice_Level2"/>
      <w:bookmarkStart w:id="48" w:name="_Toc21415_WPSOffice_Level2"/>
    </w:p>
    <w:p w14:paraId="466CE0B2">
      <w:pPr>
        <w:spacing w:line="578" w:lineRule="exact"/>
        <w:ind w:firstLine="645"/>
        <w:rPr>
          <w:rFonts w:hint="eastAsia" w:ascii="方正黑体简体" w:hAnsi="方正黑体简体" w:eastAsia="方正黑体简体" w:cs="方正黑体简体"/>
          <w:b w:val="0"/>
          <w:bCs w:val="0"/>
          <w:color w:val="auto"/>
          <w:sz w:val="32"/>
          <w:szCs w:val="32"/>
        </w:rPr>
      </w:pPr>
      <w:r>
        <w:rPr>
          <w:rFonts w:hint="eastAsia" w:ascii="方正黑体简体" w:hAnsi="方正黑体简体" w:eastAsia="方正黑体简体" w:cs="方正黑体简体"/>
          <w:b w:val="0"/>
          <w:bCs w:val="0"/>
          <w:color w:val="auto"/>
          <w:sz w:val="32"/>
          <w:szCs w:val="32"/>
        </w:rPr>
        <w:t>四、财政拨款收入支出决算公开表</w:t>
      </w:r>
      <w:bookmarkEnd w:id="43"/>
      <w:bookmarkEnd w:id="44"/>
      <w:bookmarkEnd w:id="45"/>
      <w:bookmarkEnd w:id="46"/>
      <w:bookmarkEnd w:id="47"/>
      <w:bookmarkEnd w:id="48"/>
    </w:p>
    <w:p w14:paraId="1CA1AAB7">
      <w:pPr>
        <w:spacing w:line="578" w:lineRule="exact"/>
        <w:ind w:firstLine="645"/>
        <w:rPr>
          <w:rFonts w:hint="eastAsia" w:ascii="方正黑体简体" w:hAnsi="方正黑体简体" w:eastAsia="方正黑体简体" w:cs="方正黑体简体"/>
          <w:b w:val="0"/>
          <w:bCs w:val="0"/>
          <w:color w:val="auto"/>
          <w:sz w:val="32"/>
          <w:szCs w:val="32"/>
        </w:rPr>
      </w:pPr>
      <w:bookmarkStart w:id="49" w:name="_Toc7879_WPSOffice_Level2"/>
      <w:bookmarkStart w:id="50" w:name="_Toc23829_WPSOffice_Level2"/>
      <w:bookmarkStart w:id="51" w:name="_Toc22783_WPSOffice_Level2"/>
      <w:bookmarkStart w:id="52" w:name="_Toc25166_WPSOffice_Level2"/>
      <w:bookmarkStart w:id="53" w:name="_Toc2158_WPSOffice_Level2"/>
      <w:bookmarkStart w:id="54" w:name="_Toc13516_WPSOffice_Level2"/>
      <w:r>
        <w:rPr>
          <w:rFonts w:hint="eastAsia" w:ascii="方正黑体简体" w:hAnsi="方正黑体简体" w:eastAsia="方正黑体简体" w:cs="方正黑体简体"/>
          <w:b w:val="0"/>
          <w:bCs w:val="0"/>
          <w:color w:val="auto"/>
          <w:sz w:val="32"/>
          <w:szCs w:val="32"/>
        </w:rPr>
        <w:t>五、一般公共预算财政拨款收入支出决算</w:t>
      </w:r>
      <w:bookmarkEnd w:id="49"/>
      <w:bookmarkEnd w:id="50"/>
      <w:bookmarkEnd w:id="51"/>
      <w:bookmarkEnd w:id="52"/>
      <w:r>
        <w:rPr>
          <w:rFonts w:hint="eastAsia" w:ascii="方正黑体简体" w:hAnsi="方正黑体简体" w:eastAsia="方正黑体简体" w:cs="方正黑体简体"/>
          <w:b w:val="0"/>
          <w:bCs w:val="0"/>
          <w:color w:val="auto"/>
          <w:sz w:val="32"/>
          <w:szCs w:val="32"/>
        </w:rPr>
        <w:t>公开表</w:t>
      </w:r>
      <w:bookmarkEnd w:id="53"/>
      <w:bookmarkEnd w:id="54"/>
      <w:bookmarkStart w:id="55" w:name="_Toc2632_WPSOffice_Level2"/>
      <w:bookmarkStart w:id="56" w:name="_Toc25362_WPSOffice_Level2"/>
      <w:bookmarkStart w:id="57" w:name="_Toc8373_WPSOffice_Level2"/>
      <w:bookmarkStart w:id="58" w:name="_Toc17283_WPSOffice_Level2"/>
      <w:bookmarkStart w:id="59" w:name="_Toc5343_WPSOffice_Level2"/>
      <w:bookmarkStart w:id="60" w:name="_Toc17833_WPSOffice_Level2"/>
    </w:p>
    <w:p w14:paraId="163493D2">
      <w:pPr>
        <w:spacing w:line="578" w:lineRule="exact"/>
        <w:ind w:firstLine="645"/>
        <w:rPr>
          <w:rFonts w:hint="eastAsia" w:ascii="方正黑体简体" w:hAnsi="方正黑体简体" w:eastAsia="方正黑体简体" w:cs="方正黑体简体"/>
          <w:b w:val="0"/>
          <w:bCs w:val="0"/>
          <w:color w:val="auto"/>
          <w:sz w:val="32"/>
          <w:szCs w:val="32"/>
        </w:rPr>
      </w:pPr>
      <w:r>
        <w:rPr>
          <w:rFonts w:hint="eastAsia" w:ascii="方正黑体简体" w:hAnsi="方正黑体简体" w:eastAsia="方正黑体简体" w:cs="方正黑体简体"/>
          <w:b w:val="0"/>
          <w:bCs w:val="0"/>
          <w:color w:val="auto"/>
          <w:sz w:val="32"/>
          <w:szCs w:val="32"/>
        </w:rPr>
        <w:t>六、一般公共预算财政拨款基本支出决算</w:t>
      </w:r>
      <w:bookmarkEnd w:id="55"/>
      <w:bookmarkEnd w:id="56"/>
      <w:bookmarkEnd w:id="57"/>
      <w:bookmarkEnd w:id="58"/>
      <w:bookmarkEnd w:id="59"/>
      <w:bookmarkEnd w:id="60"/>
      <w:r>
        <w:rPr>
          <w:rFonts w:hint="eastAsia" w:ascii="方正黑体简体" w:hAnsi="方正黑体简体" w:eastAsia="方正黑体简体" w:cs="方正黑体简体"/>
          <w:b w:val="0"/>
          <w:bCs w:val="0"/>
          <w:color w:val="auto"/>
          <w:sz w:val="32"/>
          <w:szCs w:val="32"/>
        </w:rPr>
        <w:t>公开表</w:t>
      </w:r>
    </w:p>
    <w:p w14:paraId="11250B0D">
      <w:pPr>
        <w:spacing w:line="578" w:lineRule="exact"/>
        <w:ind w:left="1118" w:leftChars="304" w:hanging="480" w:hangingChars="150"/>
        <w:rPr>
          <w:rFonts w:hint="eastAsia" w:ascii="方正黑体简体" w:hAnsi="方正黑体简体" w:eastAsia="方正黑体简体" w:cs="方正黑体简体"/>
          <w:b w:val="0"/>
          <w:bCs w:val="0"/>
          <w:color w:val="auto"/>
          <w:sz w:val="32"/>
          <w:szCs w:val="32"/>
        </w:rPr>
      </w:pPr>
      <w:bookmarkStart w:id="61" w:name="_Toc1533_WPSOffice_Level2"/>
      <w:bookmarkStart w:id="62" w:name="_Toc11799_WPSOffice_Level2"/>
      <w:bookmarkStart w:id="63" w:name="_Toc21310_WPSOffice_Level2"/>
      <w:bookmarkStart w:id="64" w:name="_Toc5594_WPSOffice_Level2"/>
      <w:bookmarkStart w:id="65" w:name="_Toc13345_WPSOffice_Level2"/>
      <w:bookmarkStart w:id="66" w:name="_Toc6020_WPSOffice_Level2"/>
      <w:r>
        <w:rPr>
          <w:rFonts w:hint="eastAsia" w:ascii="方正黑体简体" w:hAnsi="方正黑体简体" w:eastAsia="方正黑体简体" w:cs="方正黑体简体"/>
          <w:b w:val="0"/>
          <w:bCs w:val="0"/>
          <w:color w:val="auto"/>
          <w:sz w:val="32"/>
          <w:szCs w:val="32"/>
        </w:rPr>
        <w:t>七、政府性基金预算财政拨款收入支出决算</w:t>
      </w:r>
      <w:bookmarkEnd w:id="61"/>
      <w:bookmarkEnd w:id="62"/>
      <w:bookmarkEnd w:id="63"/>
      <w:bookmarkEnd w:id="64"/>
      <w:bookmarkEnd w:id="65"/>
      <w:bookmarkEnd w:id="66"/>
      <w:r>
        <w:rPr>
          <w:rFonts w:hint="eastAsia" w:ascii="方正黑体简体" w:hAnsi="方正黑体简体" w:eastAsia="方正黑体简体" w:cs="方正黑体简体"/>
          <w:b w:val="0"/>
          <w:bCs w:val="0"/>
          <w:color w:val="auto"/>
          <w:sz w:val="32"/>
          <w:szCs w:val="32"/>
        </w:rPr>
        <w:t>公开表</w:t>
      </w:r>
    </w:p>
    <w:p w14:paraId="33B6C1DC">
      <w:pPr>
        <w:spacing w:line="578" w:lineRule="exact"/>
        <w:ind w:left="1118" w:leftChars="304" w:hanging="480" w:hangingChars="150"/>
        <w:rPr>
          <w:rFonts w:hint="eastAsia" w:ascii="方正黑体简体" w:hAnsi="方正黑体简体" w:eastAsia="方正黑体简体" w:cs="方正黑体简体"/>
          <w:b w:val="0"/>
          <w:bCs w:val="0"/>
          <w:color w:val="auto"/>
          <w:sz w:val="32"/>
          <w:szCs w:val="32"/>
        </w:rPr>
      </w:pPr>
      <w:r>
        <w:rPr>
          <w:rFonts w:hint="eastAsia" w:ascii="方正黑体简体" w:hAnsi="方正黑体简体" w:eastAsia="方正黑体简体" w:cs="方正黑体简体"/>
          <w:b w:val="0"/>
          <w:bCs w:val="0"/>
          <w:color w:val="auto"/>
          <w:sz w:val="32"/>
          <w:szCs w:val="32"/>
        </w:rPr>
        <w:t>八、国有资本经营预算财政拨款收入支出决算公开表</w:t>
      </w:r>
    </w:p>
    <w:p w14:paraId="6225979D">
      <w:pPr>
        <w:spacing w:line="578" w:lineRule="exact"/>
        <w:ind w:firstLine="640"/>
        <w:rPr>
          <w:rFonts w:hint="eastAsia" w:ascii="方正黑体简体" w:hAnsi="方正黑体简体" w:eastAsia="方正黑体简体" w:cs="方正黑体简体"/>
          <w:b w:val="0"/>
          <w:bCs w:val="0"/>
          <w:color w:val="auto"/>
          <w:sz w:val="32"/>
          <w:szCs w:val="32"/>
        </w:rPr>
      </w:pPr>
      <w:bookmarkStart w:id="67" w:name="_Toc9377_WPSOffice_Level2"/>
      <w:bookmarkStart w:id="68" w:name="_Toc1820_WPSOffice_Level2"/>
      <w:bookmarkStart w:id="69" w:name="_Toc19961_WPSOffice_Level2"/>
      <w:bookmarkStart w:id="70" w:name="_Toc29886_WPSOffice_Level2"/>
      <w:r>
        <w:rPr>
          <w:rFonts w:hint="eastAsia" w:ascii="方正黑体简体" w:hAnsi="方正黑体简体" w:eastAsia="方正黑体简体" w:cs="方正黑体简体"/>
          <w:b w:val="0"/>
          <w:bCs w:val="0"/>
          <w:color w:val="auto"/>
          <w:sz w:val="32"/>
          <w:szCs w:val="32"/>
        </w:rPr>
        <w:t>九、财政拨款“三公”经费支出决算</w:t>
      </w:r>
      <w:bookmarkEnd w:id="67"/>
      <w:bookmarkEnd w:id="68"/>
      <w:bookmarkEnd w:id="69"/>
      <w:bookmarkEnd w:id="70"/>
      <w:r>
        <w:rPr>
          <w:rFonts w:hint="eastAsia" w:ascii="方正黑体简体" w:hAnsi="方正黑体简体" w:eastAsia="方正黑体简体" w:cs="方正黑体简体"/>
          <w:b w:val="0"/>
          <w:bCs w:val="0"/>
          <w:color w:val="auto"/>
          <w:sz w:val="32"/>
          <w:szCs w:val="32"/>
        </w:rPr>
        <w:t>公开表</w:t>
      </w:r>
    </w:p>
    <w:p w14:paraId="752E8721">
      <w:pPr>
        <w:spacing w:line="578" w:lineRule="exact"/>
        <w:ind w:firstLine="640"/>
        <w:rPr>
          <w:rFonts w:hint="default" w:ascii="Times New Roman" w:hAnsi="Times New Roman" w:eastAsia="仿宋" w:cs="Times New Roman"/>
          <w:color w:val="auto"/>
          <w:w w:val="100"/>
          <w:sz w:val="32"/>
          <w:szCs w:val="32"/>
        </w:rPr>
      </w:pPr>
      <w:r>
        <w:rPr>
          <w:rFonts w:hint="eastAsia" w:ascii="仿宋" w:hAnsi="仿宋" w:eastAsia="仿宋" w:cs="仿宋"/>
          <w:color w:val="auto"/>
          <w:w w:val="100"/>
          <w:sz w:val="32"/>
          <w:szCs w:val="32"/>
        </w:rPr>
        <w:t>以上报表见附件</w:t>
      </w:r>
      <w:r>
        <w:rPr>
          <w:rFonts w:hint="default" w:ascii="Times New Roman" w:hAnsi="Times New Roman" w:eastAsia="仿宋" w:cs="Times New Roman"/>
          <w:color w:val="auto"/>
          <w:w w:val="100"/>
          <w:sz w:val="32"/>
          <w:szCs w:val="32"/>
        </w:rPr>
        <w:t xml:space="preserve">1。   </w:t>
      </w:r>
    </w:p>
    <w:p w14:paraId="5B482E07">
      <w:pPr>
        <w:spacing w:line="578" w:lineRule="exact"/>
        <w:rPr>
          <w:rFonts w:hint="eastAsia" w:ascii="黑体" w:hAnsi="黑体" w:eastAsia="黑体" w:cs="黑体"/>
          <w:color w:val="auto"/>
          <w:sz w:val="32"/>
          <w:szCs w:val="32"/>
        </w:rPr>
      </w:pPr>
    </w:p>
    <w:p w14:paraId="7C269996">
      <w:pPr>
        <w:spacing w:line="578" w:lineRule="exact"/>
        <w:jc w:val="center"/>
        <w:rPr>
          <w:rFonts w:hint="eastAsia" w:ascii="黑体" w:hAnsi="ˎ̥" w:eastAsia="黑体"/>
          <w:color w:val="auto"/>
          <w:sz w:val="32"/>
          <w:szCs w:val="32"/>
        </w:rPr>
      </w:pPr>
      <w:bookmarkStart w:id="71" w:name="_Toc28629_WPSOffice_Level1"/>
      <w:bookmarkStart w:id="72" w:name="_Toc31264_WPSOffice_Level1"/>
      <w:bookmarkStart w:id="73" w:name="_Toc4402_WPSOffice_Level1"/>
      <w:bookmarkStart w:id="74" w:name="_Toc29683_WPSOffice_Level1"/>
      <w:bookmarkStart w:id="75" w:name="_Toc27590_WPSOffice_Level1"/>
      <w:bookmarkStart w:id="76" w:name="_Toc16686_WPSOffice_Level1"/>
    </w:p>
    <w:p w14:paraId="2E3925FF">
      <w:pPr>
        <w:spacing w:line="578" w:lineRule="exact"/>
        <w:jc w:val="center"/>
        <w:rPr>
          <w:rFonts w:hint="eastAsia" w:ascii="黑体" w:hAnsi="ˎ̥" w:eastAsia="黑体"/>
          <w:color w:val="auto"/>
          <w:sz w:val="32"/>
          <w:szCs w:val="32"/>
        </w:rPr>
      </w:pPr>
    </w:p>
    <w:p w14:paraId="07140A7B">
      <w:pPr>
        <w:spacing w:line="578" w:lineRule="exact"/>
        <w:jc w:val="center"/>
        <w:rPr>
          <w:rFonts w:hint="eastAsia" w:ascii="黑体" w:hAnsi="ˎ̥" w:eastAsia="黑体"/>
          <w:color w:val="auto"/>
          <w:sz w:val="32"/>
          <w:szCs w:val="32"/>
        </w:rPr>
      </w:pPr>
    </w:p>
    <w:p w14:paraId="138ECAC5">
      <w:pPr>
        <w:spacing w:line="578" w:lineRule="exact"/>
        <w:jc w:val="center"/>
        <w:rPr>
          <w:rFonts w:hint="eastAsia" w:ascii="黑体" w:hAnsi="ˎ̥" w:eastAsia="黑体"/>
          <w:color w:val="auto"/>
          <w:sz w:val="32"/>
          <w:szCs w:val="32"/>
        </w:rPr>
      </w:pPr>
    </w:p>
    <w:p w14:paraId="54BAF07E">
      <w:pPr>
        <w:spacing w:line="578" w:lineRule="exact"/>
        <w:jc w:val="center"/>
        <w:rPr>
          <w:rFonts w:hint="eastAsia" w:ascii="黑体" w:hAnsi="ˎ̥" w:eastAsia="黑体"/>
          <w:color w:val="auto"/>
          <w:sz w:val="32"/>
          <w:szCs w:val="32"/>
        </w:rPr>
      </w:pPr>
    </w:p>
    <w:p w14:paraId="6D425BF7">
      <w:pPr>
        <w:spacing w:line="578" w:lineRule="exact"/>
        <w:jc w:val="center"/>
        <w:rPr>
          <w:rFonts w:hint="eastAsia" w:ascii="黑体" w:hAnsi="ˎ̥" w:eastAsia="黑体"/>
          <w:color w:val="auto"/>
          <w:sz w:val="32"/>
          <w:szCs w:val="32"/>
        </w:rPr>
      </w:pPr>
    </w:p>
    <w:p w14:paraId="3DBA95EA">
      <w:pPr>
        <w:spacing w:line="578" w:lineRule="exact"/>
        <w:jc w:val="center"/>
        <w:rPr>
          <w:rFonts w:hint="eastAsia" w:ascii="黑体" w:hAnsi="ˎ̥" w:eastAsia="黑体"/>
          <w:color w:val="auto"/>
          <w:sz w:val="32"/>
          <w:szCs w:val="32"/>
        </w:rPr>
      </w:pPr>
    </w:p>
    <w:p w14:paraId="21F40537">
      <w:pPr>
        <w:spacing w:line="578" w:lineRule="exact"/>
        <w:jc w:val="center"/>
        <w:rPr>
          <w:rFonts w:hint="eastAsia" w:ascii="黑体" w:hAnsi="ˎ̥" w:eastAsia="黑体"/>
          <w:color w:val="auto"/>
          <w:sz w:val="32"/>
          <w:szCs w:val="32"/>
        </w:rPr>
      </w:pPr>
    </w:p>
    <w:p w14:paraId="2AA3661F">
      <w:pPr>
        <w:spacing w:line="578" w:lineRule="exact"/>
        <w:jc w:val="center"/>
        <w:rPr>
          <w:rFonts w:hint="eastAsia" w:ascii="黑体" w:hAnsi="ˎ̥" w:eastAsia="黑体"/>
          <w:color w:val="auto"/>
          <w:sz w:val="32"/>
          <w:szCs w:val="32"/>
        </w:rPr>
      </w:pPr>
    </w:p>
    <w:p w14:paraId="31BF6332">
      <w:pPr>
        <w:spacing w:line="578" w:lineRule="exact"/>
        <w:jc w:val="center"/>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 xml:space="preserve">第三部分  </w:t>
      </w:r>
      <w:r>
        <w:rPr>
          <w:rFonts w:hint="eastAsia" w:ascii="方正小标宋简体" w:hAnsi="方正小标宋简体" w:eastAsia="方正小标宋简体" w:cs="方正小标宋简体"/>
          <w:color w:val="auto"/>
          <w:sz w:val="44"/>
          <w:szCs w:val="44"/>
          <w:lang w:val="en-US"/>
        </w:rPr>
        <w:t>2025</w:t>
      </w:r>
      <w:r>
        <w:rPr>
          <w:rFonts w:hint="eastAsia" w:ascii="方正小标宋简体" w:hAnsi="方正小标宋简体" w:eastAsia="方正小标宋简体" w:cs="方正小标宋简体"/>
          <w:color w:val="auto"/>
          <w:sz w:val="44"/>
          <w:szCs w:val="44"/>
        </w:rPr>
        <w:t>年度部门决算情况说明</w:t>
      </w:r>
      <w:bookmarkEnd w:id="71"/>
      <w:bookmarkEnd w:id="72"/>
      <w:bookmarkEnd w:id="73"/>
      <w:bookmarkEnd w:id="74"/>
      <w:bookmarkEnd w:id="75"/>
      <w:bookmarkEnd w:id="76"/>
    </w:p>
    <w:p w14:paraId="7D0B340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bCs/>
          <w:color w:val="auto"/>
          <w:sz w:val="32"/>
          <w:szCs w:val="32"/>
        </w:rPr>
      </w:pPr>
    </w:p>
    <w:p w14:paraId="1051B5A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ˎ̥" w:eastAsia="仿宋_GB2312"/>
          <w:color w:val="auto"/>
          <w:sz w:val="32"/>
          <w:szCs w:val="32"/>
          <w:lang w:val="en-US" w:eastAsia="zh-CN"/>
        </w:rPr>
      </w:pPr>
      <w:r>
        <w:rPr>
          <w:rFonts w:hint="eastAsia" w:ascii="方正黑体简体" w:hAnsi="方正黑体简体" w:eastAsia="方正黑体简体" w:cs="方正黑体简体"/>
          <w:b w:val="0"/>
          <w:bCs/>
          <w:color w:val="auto"/>
          <w:sz w:val="32"/>
          <w:szCs w:val="32"/>
        </w:rPr>
        <w:t>一、收入支出总体情况说明</w:t>
      </w:r>
      <w:r>
        <w:rPr>
          <w:rFonts w:hint="eastAsia" w:ascii="黑体" w:hAnsi="黑体" w:eastAsia="黑体" w:cs="黑体"/>
          <w:bCs/>
          <w:color w:val="auto"/>
          <w:sz w:val="32"/>
          <w:szCs w:val="32"/>
        </w:rPr>
        <w:br w:type="textWrapping"/>
      </w:r>
      <w:r>
        <w:rPr>
          <w:rFonts w:hint="eastAsia" w:ascii="楷体_GB2312" w:hAnsi="ˎ̥" w:eastAsia="楷体_GB2312"/>
          <w:color w:val="auto"/>
          <w:sz w:val="32"/>
          <w:szCs w:val="32"/>
        </w:rPr>
        <w:t xml:space="preserve">    </w:t>
      </w: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年度收入总计</w:t>
      </w:r>
      <w:r>
        <w:rPr>
          <w:rFonts w:hint="default" w:ascii="Times New Roman" w:hAnsi="Times New Roman" w:eastAsia="方正仿宋简体" w:cs="Times New Roman"/>
          <w:color w:val="auto"/>
          <w:sz w:val="32"/>
          <w:szCs w:val="32"/>
          <w:lang w:val="en-US"/>
        </w:rPr>
        <w:t>1,315.57</w:t>
      </w:r>
      <w:r>
        <w:rPr>
          <w:rFonts w:hint="default" w:ascii="Times New Roman" w:hAnsi="Times New Roman" w:eastAsia="方正仿宋简体" w:cs="Times New Roman"/>
          <w:color w:val="auto"/>
          <w:sz w:val="32"/>
          <w:szCs w:val="32"/>
        </w:rPr>
        <w:t>万元，支出总计</w:t>
      </w:r>
      <w:r>
        <w:rPr>
          <w:rFonts w:hint="default" w:ascii="Times New Roman" w:hAnsi="Times New Roman" w:eastAsia="方正仿宋简体" w:cs="Times New Roman"/>
          <w:color w:val="auto"/>
          <w:sz w:val="32"/>
          <w:szCs w:val="32"/>
          <w:lang w:val="en-US"/>
        </w:rPr>
        <w:t>1,315.57</w:t>
      </w:r>
      <w:r>
        <w:rPr>
          <w:rFonts w:hint="default" w:ascii="Times New Roman" w:hAnsi="Times New Roman" w:eastAsia="方正仿宋简体" w:cs="Times New Roman"/>
          <w:color w:val="auto"/>
          <w:sz w:val="32"/>
          <w:szCs w:val="32"/>
        </w:rPr>
        <w:t>万元，与</w:t>
      </w:r>
      <w:r>
        <w:rPr>
          <w:rFonts w:hint="default" w:ascii="Times New Roman" w:hAnsi="Times New Roman" w:eastAsia="方正仿宋简体" w:cs="Times New Roman"/>
          <w:color w:val="auto"/>
          <w:sz w:val="32"/>
          <w:szCs w:val="32"/>
          <w:lang w:val="en-US"/>
        </w:rPr>
        <w:t>2024</w:t>
      </w:r>
      <w:r>
        <w:rPr>
          <w:rFonts w:hint="default" w:ascii="Times New Roman" w:hAnsi="Times New Roman" w:eastAsia="方正仿宋简体" w:cs="Times New Roman"/>
          <w:color w:val="auto"/>
          <w:sz w:val="32"/>
          <w:szCs w:val="32"/>
        </w:rPr>
        <w:t>年度相比，收入、支出总计各增加</w:t>
      </w:r>
      <w:r>
        <w:rPr>
          <w:rFonts w:hint="default" w:ascii="Times New Roman" w:hAnsi="Times New Roman" w:eastAsia="方正仿宋简体" w:cs="Times New Roman"/>
          <w:color w:val="auto"/>
          <w:sz w:val="32"/>
          <w:szCs w:val="32"/>
          <w:lang w:val="en-US" w:eastAsia="zh-CN"/>
        </w:rPr>
        <w:t>183.68</w:t>
      </w:r>
      <w:r>
        <w:rPr>
          <w:rFonts w:hint="default" w:ascii="Times New Roman" w:hAnsi="Times New Roman" w:eastAsia="方正仿宋简体" w:cs="Times New Roman"/>
          <w:color w:val="auto"/>
          <w:sz w:val="32"/>
          <w:szCs w:val="32"/>
        </w:rPr>
        <w:t>万元，增长</w:t>
      </w:r>
      <w:r>
        <w:rPr>
          <w:rFonts w:hint="default" w:ascii="Times New Roman" w:hAnsi="Times New Roman" w:eastAsia="方正仿宋简体" w:cs="Times New Roman"/>
          <w:color w:val="auto"/>
          <w:sz w:val="32"/>
          <w:szCs w:val="32"/>
          <w:lang w:val="en-US" w:eastAsia="zh-CN"/>
        </w:rPr>
        <w:t>16.23</w:t>
      </w:r>
      <w:r>
        <w:rPr>
          <w:rFonts w:hint="default" w:ascii="Times New Roman" w:hAnsi="Times New Roman" w:eastAsia="方正仿宋简体" w:cs="Times New Roman"/>
          <w:color w:val="auto"/>
          <w:sz w:val="32"/>
          <w:szCs w:val="32"/>
        </w:rPr>
        <w:t>%。主要原因</w:t>
      </w:r>
      <w:r>
        <w:rPr>
          <w:rFonts w:hint="default" w:ascii="Times New Roman" w:hAnsi="Times New Roman" w:eastAsia="方正仿宋简体" w:cs="Times New Roman"/>
          <w:color w:val="auto"/>
          <w:sz w:val="32"/>
          <w:szCs w:val="32"/>
          <w:lang w:val="en-US" w:eastAsia="zh-CN"/>
        </w:rPr>
        <w:t>是单位人员编制增加，相应人员经费财政拨款收入随之增加，导致年度收入、支出规模同步增加。</w:t>
      </w:r>
    </w:p>
    <w:p w14:paraId="05B8AFD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rPr>
      </w:pPr>
      <w:r>
        <w:rPr>
          <w:rFonts w:hint="eastAsia" w:ascii="方正楷体简体" w:hAnsi="方正楷体简体" w:eastAsia="方正楷体简体" w:cs="方正楷体简体"/>
          <w:color w:val="auto"/>
          <w:sz w:val="32"/>
          <w:szCs w:val="32"/>
        </w:rPr>
        <w:t>（一）收入总计主要构成</w:t>
      </w:r>
    </w:p>
    <w:p w14:paraId="596A4F3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本年收入</w:t>
      </w:r>
      <w:r>
        <w:rPr>
          <w:rFonts w:hint="default" w:ascii="Times New Roman" w:hAnsi="Times New Roman" w:eastAsia="仿宋_GB2312" w:cs="Times New Roman"/>
          <w:color w:val="auto"/>
          <w:sz w:val="32"/>
          <w:szCs w:val="32"/>
          <w:lang w:val="en-US"/>
        </w:rPr>
        <w:t>1,315.57</w:t>
      </w:r>
      <w:r>
        <w:rPr>
          <w:rFonts w:hint="default" w:ascii="Times New Roman" w:hAnsi="Times New Roman" w:eastAsia="仿宋_GB2312" w:cs="Times New Roman"/>
          <w:color w:val="auto"/>
          <w:sz w:val="32"/>
          <w:szCs w:val="32"/>
        </w:rPr>
        <w:t>万元。</w:t>
      </w:r>
    </w:p>
    <w:p w14:paraId="3AB6C10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使用非财政拨款结余</w:t>
      </w:r>
      <w:r>
        <w:rPr>
          <w:rFonts w:hint="default" w:ascii="Times New Roman" w:hAnsi="Times New Roman" w:eastAsia="仿宋_GB2312" w:cs="Times New Roman"/>
          <w:color w:val="auto"/>
          <w:sz w:val="32"/>
          <w:szCs w:val="32"/>
          <w:lang w:val="en-US"/>
        </w:rPr>
        <w:t>0</w:t>
      </w:r>
      <w:r>
        <w:rPr>
          <w:rFonts w:hint="default" w:ascii="Times New Roman" w:hAnsi="Times New Roman" w:eastAsia="仿宋_GB2312" w:cs="Times New Roman"/>
          <w:color w:val="auto"/>
          <w:sz w:val="32"/>
          <w:szCs w:val="32"/>
        </w:rPr>
        <w:t>万元，较</w:t>
      </w:r>
      <w:r>
        <w:rPr>
          <w:rFonts w:hint="default" w:ascii="Times New Roman" w:hAnsi="Times New Roman" w:eastAsia="仿宋_GB2312" w:cs="Times New Roman"/>
          <w:color w:val="auto"/>
          <w:sz w:val="32"/>
          <w:szCs w:val="32"/>
          <w:lang w:val="en-US"/>
        </w:rPr>
        <w:t>2024</w:t>
      </w:r>
      <w:r>
        <w:rPr>
          <w:rFonts w:hint="default" w:ascii="Times New Roman" w:hAnsi="Times New Roman" w:eastAsia="仿宋_GB2312" w:cs="Times New Roman"/>
          <w:color w:val="auto"/>
          <w:sz w:val="32"/>
          <w:szCs w:val="32"/>
        </w:rPr>
        <w:t>年度决算数</w:t>
      </w:r>
      <w:r>
        <w:rPr>
          <w:rFonts w:hint="default" w:ascii="Times New Roman" w:hAnsi="Times New Roman" w:eastAsia="仿宋_GB2312" w:cs="Times New Roman"/>
          <w:color w:val="auto"/>
          <w:sz w:val="32"/>
          <w:szCs w:val="32"/>
          <w:lang w:val="en-US" w:eastAsia="zh-CN"/>
        </w:rPr>
        <w:t>未发生增减变化</w:t>
      </w:r>
      <w:r>
        <w:rPr>
          <w:rFonts w:hint="default" w:ascii="Times New Roman" w:hAnsi="Times New Roman" w:eastAsia="仿宋_GB2312" w:cs="Times New Roman"/>
          <w:color w:val="auto"/>
          <w:sz w:val="32"/>
          <w:szCs w:val="32"/>
        </w:rPr>
        <w:t>，主要原因是</w:t>
      </w:r>
      <w:r>
        <w:rPr>
          <w:rFonts w:hint="default" w:ascii="Times New Roman" w:hAnsi="Times New Roman" w:eastAsia="仿宋_GB2312" w:cs="Times New Roman"/>
          <w:color w:val="auto"/>
          <w:sz w:val="32"/>
          <w:szCs w:val="32"/>
          <w:lang w:val="en-US" w:eastAsia="zh-CN"/>
        </w:rPr>
        <w:t>本年度财政拨款保障规模与上年基本一致，无其他非财政收入增减变动</w:t>
      </w:r>
      <w:r>
        <w:rPr>
          <w:rFonts w:hint="default" w:ascii="Times New Roman" w:hAnsi="Times New Roman" w:eastAsia="仿宋_GB2312" w:cs="Times New Roman"/>
          <w:color w:val="auto"/>
          <w:sz w:val="32"/>
          <w:szCs w:val="32"/>
        </w:rPr>
        <w:t>。</w:t>
      </w:r>
    </w:p>
    <w:p w14:paraId="5B2819E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年初结转结余</w:t>
      </w:r>
      <w:r>
        <w:rPr>
          <w:rFonts w:hint="default" w:ascii="Times New Roman" w:hAnsi="Times New Roman" w:eastAsia="仿宋_GB2312" w:cs="Times New Roman"/>
          <w:color w:val="auto"/>
          <w:sz w:val="32"/>
          <w:szCs w:val="32"/>
          <w:lang w:val="en-US"/>
        </w:rPr>
        <w:t>0</w:t>
      </w:r>
      <w:r>
        <w:rPr>
          <w:rFonts w:hint="default" w:ascii="Times New Roman" w:hAnsi="Times New Roman" w:eastAsia="仿宋_GB2312" w:cs="Times New Roman"/>
          <w:color w:val="auto"/>
          <w:sz w:val="32"/>
          <w:szCs w:val="32"/>
        </w:rPr>
        <w:t>万元，主要是</w:t>
      </w:r>
      <w:r>
        <w:rPr>
          <w:rFonts w:hint="default" w:ascii="Times New Roman" w:hAnsi="Times New Roman" w:eastAsia="仿宋_GB2312" w:cs="Times New Roman"/>
          <w:color w:val="auto"/>
          <w:sz w:val="32"/>
          <w:szCs w:val="32"/>
          <w:lang w:val="en-US" w:eastAsia="zh-CN"/>
        </w:rPr>
        <w:t>本年度收支相抵，严格执行预算管理，当年实现收支平衡，未形成结转结余资金。</w:t>
      </w:r>
      <w:r>
        <w:rPr>
          <w:rFonts w:hint="default" w:ascii="Times New Roman" w:hAnsi="Times New Roman" w:eastAsia="仿宋_GB2312" w:cs="Times New Roman"/>
          <w:color w:val="auto"/>
          <w:sz w:val="32"/>
          <w:szCs w:val="32"/>
        </w:rPr>
        <w:t>较</w:t>
      </w:r>
      <w:r>
        <w:rPr>
          <w:rFonts w:hint="default" w:ascii="Times New Roman" w:hAnsi="Times New Roman" w:eastAsia="仿宋_GB2312" w:cs="Times New Roman"/>
          <w:color w:val="auto"/>
          <w:sz w:val="32"/>
          <w:szCs w:val="32"/>
          <w:lang w:val="en-US"/>
        </w:rPr>
        <w:t>2024</w:t>
      </w:r>
      <w:r>
        <w:rPr>
          <w:rFonts w:hint="default" w:ascii="Times New Roman" w:hAnsi="Times New Roman" w:eastAsia="仿宋_GB2312" w:cs="Times New Roman"/>
          <w:color w:val="auto"/>
          <w:sz w:val="32"/>
          <w:szCs w:val="32"/>
        </w:rPr>
        <w:t>年度决算数</w:t>
      </w:r>
      <w:r>
        <w:rPr>
          <w:rFonts w:hint="default" w:ascii="Times New Roman" w:hAnsi="Times New Roman" w:eastAsia="仿宋_GB2312" w:cs="Times New Roman"/>
          <w:color w:val="auto"/>
          <w:sz w:val="32"/>
          <w:szCs w:val="32"/>
          <w:lang w:val="en-US" w:eastAsia="zh-CN"/>
        </w:rPr>
        <w:t>未发生</w:t>
      </w:r>
      <w:r>
        <w:rPr>
          <w:rFonts w:hint="default" w:ascii="Times New Roman" w:hAnsi="Times New Roman" w:eastAsia="仿宋_GB2312" w:cs="Times New Roman"/>
          <w:color w:val="auto"/>
          <w:sz w:val="32"/>
          <w:szCs w:val="32"/>
        </w:rPr>
        <w:t>增加（减少）。</w:t>
      </w:r>
    </w:p>
    <w:p w14:paraId="74FADFF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lang w:eastAsia="zh-CN"/>
        </w:rPr>
      </w:pPr>
      <w:r>
        <w:rPr>
          <w:rFonts w:hint="eastAsia" w:ascii="方正楷体简体" w:hAnsi="方正楷体简体" w:eastAsia="方正楷体简体" w:cs="方正楷体简体"/>
          <w:color w:val="auto"/>
          <w:sz w:val="32"/>
          <w:szCs w:val="32"/>
        </w:rPr>
        <w:t>（二）支出总计主要构成</w:t>
      </w:r>
    </w:p>
    <w:p w14:paraId="6F597E8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本年支出</w:t>
      </w:r>
      <w:r>
        <w:rPr>
          <w:rFonts w:hint="default" w:ascii="Times New Roman" w:hAnsi="Times New Roman" w:eastAsia="方正仿宋简体" w:cs="Times New Roman"/>
          <w:color w:val="auto"/>
          <w:sz w:val="32"/>
          <w:szCs w:val="32"/>
          <w:lang w:val="en-US"/>
        </w:rPr>
        <w:t>1,315.57</w:t>
      </w:r>
      <w:r>
        <w:rPr>
          <w:rFonts w:hint="default" w:ascii="Times New Roman" w:hAnsi="Times New Roman" w:eastAsia="方正仿宋简体" w:cs="Times New Roman"/>
          <w:color w:val="auto"/>
          <w:sz w:val="32"/>
          <w:szCs w:val="32"/>
        </w:rPr>
        <w:t>万元。</w:t>
      </w:r>
    </w:p>
    <w:p w14:paraId="2CA4833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rPr>
        <w:t>结余分配</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万元，较</w:t>
      </w:r>
      <w:r>
        <w:rPr>
          <w:rFonts w:hint="default" w:ascii="Times New Roman" w:hAnsi="Times New Roman" w:eastAsia="方正仿宋简体" w:cs="Times New Roman"/>
          <w:color w:val="auto"/>
          <w:sz w:val="32"/>
          <w:szCs w:val="32"/>
          <w:lang w:val="en-US"/>
        </w:rPr>
        <w:t>2024</w:t>
      </w:r>
      <w:r>
        <w:rPr>
          <w:rFonts w:hint="default" w:ascii="Times New Roman" w:hAnsi="Times New Roman" w:eastAsia="方正仿宋简体" w:cs="Times New Roman"/>
          <w:color w:val="auto"/>
          <w:sz w:val="32"/>
          <w:szCs w:val="32"/>
        </w:rPr>
        <w:t>年度决算数</w:t>
      </w:r>
      <w:r>
        <w:rPr>
          <w:rFonts w:hint="default" w:ascii="Times New Roman" w:hAnsi="Times New Roman" w:eastAsia="方正仿宋简体" w:cs="Times New Roman"/>
          <w:color w:val="auto"/>
          <w:sz w:val="32"/>
          <w:szCs w:val="32"/>
          <w:lang w:val="en-US" w:eastAsia="zh-CN"/>
        </w:rPr>
        <w:t>未发生</w:t>
      </w:r>
      <w:r>
        <w:rPr>
          <w:rFonts w:hint="default" w:ascii="Times New Roman" w:hAnsi="Times New Roman" w:eastAsia="方正仿宋简体" w:cs="Times New Roman"/>
          <w:color w:val="auto"/>
          <w:sz w:val="32"/>
          <w:szCs w:val="32"/>
        </w:rPr>
        <w:t>增加（减少）</w:t>
      </w:r>
      <w:r>
        <w:rPr>
          <w:rFonts w:hint="default" w:ascii="Times New Roman" w:hAnsi="Times New Roman" w:eastAsia="方正仿宋简体" w:cs="Times New Roman"/>
          <w:color w:val="auto"/>
          <w:sz w:val="32"/>
          <w:szCs w:val="32"/>
          <w:lang w:val="en-US" w:eastAsia="zh-CN"/>
        </w:rPr>
        <w:t>变化。</w:t>
      </w:r>
    </w:p>
    <w:p w14:paraId="33C8A05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年末结转结余</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万元，较</w:t>
      </w:r>
      <w:r>
        <w:rPr>
          <w:rFonts w:hint="default" w:ascii="Times New Roman" w:hAnsi="Times New Roman" w:eastAsia="方正仿宋简体" w:cs="Times New Roman"/>
          <w:color w:val="auto"/>
          <w:sz w:val="32"/>
          <w:szCs w:val="32"/>
          <w:lang w:val="en-US"/>
        </w:rPr>
        <w:t>2024</w:t>
      </w:r>
      <w:r>
        <w:rPr>
          <w:rFonts w:hint="default" w:ascii="Times New Roman" w:hAnsi="Times New Roman" w:eastAsia="方正仿宋简体" w:cs="Times New Roman"/>
          <w:color w:val="auto"/>
          <w:sz w:val="32"/>
          <w:szCs w:val="32"/>
        </w:rPr>
        <w:t>年度决算数</w:t>
      </w:r>
      <w:r>
        <w:rPr>
          <w:rFonts w:hint="default" w:ascii="Times New Roman" w:hAnsi="Times New Roman" w:eastAsia="方正仿宋简体" w:cs="Times New Roman"/>
          <w:color w:val="auto"/>
          <w:sz w:val="32"/>
          <w:szCs w:val="32"/>
          <w:lang w:val="en-US" w:eastAsia="zh-CN"/>
        </w:rPr>
        <w:t>未发生</w:t>
      </w:r>
      <w:r>
        <w:rPr>
          <w:rFonts w:hint="default" w:ascii="Times New Roman" w:hAnsi="Times New Roman" w:eastAsia="方正仿宋简体" w:cs="Times New Roman"/>
          <w:color w:val="auto"/>
          <w:sz w:val="32"/>
          <w:szCs w:val="32"/>
        </w:rPr>
        <w:t>增加（减少）</w:t>
      </w:r>
      <w:r>
        <w:rPr>
          <w:rFonts w:hint="default" w:ascii="Times New Roman" w:hAnsi="Times New Roman" w:eastAsia="方正仿宋简体" w:cs="Times New Roman"/>
          <w:color w:val="auto"/>
          <w:sz w:val="32"/>
          <w:szCs w:val="32"/>
          <w:lang w:val="en-US" w:eastAsia="zh-CN"/>
        </w:rPr>
        <w:t>变化</w:t>
      </w:r>
      <w:r>
        <w:rPr>
          <w:rFonts w:hint="default" w:ascii="Times New Roman" w:hAnsi="Times New Roman" w:eastAsia="方正仿宋简体" w:cs="Times New Roman"/>
          <w:color w:val="auto"/>
          <w:sz w:val="32"/>
          <w:szCs w:val="32"/>
        </w:rPr>
        <w:t>。</w:t>
      </w:r>
    </w:p>
    <w:p w14:paraId="3B02073F">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 xml:space="preserve">  </w:t>
      </w:r>
      <w:r>
        <w:rPr>
          <w:rFonts w:hint="eastAsia" w:ascii="方正黑体简体" w:hAnsi="方正黑体简体" w:eastAsia="方正黑体简体" w:cs="方正黑体简体"/>
          <w:b w:val="0"/>
          <w:bCs/>
          <w:color w:val="auto"/>
          <w:sz w:val="32"/>
          <w:szCs w:val="32"/>
        </w:rPr>
        <w:t>二、收入决算情况说明</w:t>
      </w:r>
      <w:r>
        <w:rPr>
          <w:rFonts w:hint="eastAsia" w:ascii="黑体" w:hAnsi="黑体" w:eastAsia="黑体" w:cs="黑体"/>
          <w:bCs/>
          <w:color w:val="auto"/>
          <w:sz w:val="32"/>
          <w:szCs w:val="32"/>
        </w:rPr>
        <w:br w:type="textWrapping"/>
      </w:r>
      <w:r>
        <w:rPr>
          <w:rFonts w:hint="eastAsia" w:ascii="仿宋_GB2312" w:hAnsi="ˎ̥" w:eastAsia="仿宋_GB2312"/>
          <w:color w:val="auto"/>
          <w:sz w:val="32"/>
          <w:szCs w:val="32"/>
        </w:rPr>
        <w:t xml:space="preserve">  </w:t>
      </w:r>
      <w:r>
        <w:rPr>
          <w:rFonts w:hint="default" w:ascii="Times New Roman" w:hAnsi="Times New Roman" w:eastAsia="方正仿宋简体" w:cs="Times New Roman"/>
          <w:color w:val="auto"/>
          <w:sz w:val="32"/>
          <w:szCs w:val="32"/>
        </w:rPr>
        <w:t xml:space="preserve">  本年收入</w:t>
      </w:r>
      <w:r>
        <w:rPr>
          <w:rFonts w:hint="default" w:ascii="Times New Roman" w:hAnsi="Times New Roman" w:eastAsia="方正仿宋简体" w:cs="Times New Roman"/>
          <w:color w:val="auto"/>
          <w:sz w:val="32"/>
          <w:szCs w:val="32"/>
          <w:lang w:val="en-US"/>
        </w:rPr>
        <w:t>1,315.57</w:t>
      </w:r>
      <w:r>
        <w:rPr>
          <w:rFonts w:hint="default" w:ascii="Times New Roman" w:hAnsi="Times New Roman" w:eastAsia="方正仿宋简体" w:cs="Times New Roman"/>
          <w:color w:val="auto"/>
          <w:sz w:val="32"/>
          <w:szCs w:val="32"/>
        </w:rPr>
        <w:t>万元，其中：财政拨款收入</w:t>
      </w:r>
      <w:r>
        <w:rPr>
          <w:rFonts w:hint="default" w:ascii="Times New Roman" w:hAnsi="Times New Roman" w:eastAsia="方正仿宋简体" w:cs="Times New Roman"/>
          <w:color w:val="auto"/>
          <w:sz w:val="32"/>
          <w:szCs w:val="32"/>
          <w:lang w:val="en-US"/>
        </w:rPr>
        <w:t>1,315.57</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100</w:t>
      </w:r>
      <w:r>
        <w:rPr>
          <w:rFonts w:hint="default" w:ascii="Times New Roman" w:hAnsi="Times New Roman" w:eastAsia="方正仿宋简体" w:cs="Times New Roman"/>
          <w:color w:val="auto"/>
          <w:sz w:val="32"/>
          <w:szCs w:val="32"/>
        </w:rPr>
        <w:t>%；上级补助收入</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%；事业收入</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%；经营收入</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%；附属单位上缴收入</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%；其他收入</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w:t>
      </w:r>
    </w:p>
    <w:p w14:paraId="5FF693E6">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方正黑体简体" w:hAnsi="方正黑体简体" w:eastAsia="方正黑体简体" w:cs="方正黑体简体"/>
          <w:b w:val="0"/>
          <w:bCs/>
          <w:color w:val="auto"/>
          <w:sz w:val="32"/>
          <w:szCs w:val="32"/>
        </w:rPr>
      </w:pPr>
      <w:r>
        <w:rPr>
          <w:rFonts w:hint="eastAsia" w:ascii="方正黑体简体" w:hAnsi="方正黑体简体" w:eastAsia="方正黑体简体" w:cs="方正黑体简体"/>
          <w:b w:val="0"/>
          <w:bCs/>
          <w:color w:val="auto"/>
          <w:sz w:val="32"/>
          <w:szCs w:val="32"/>
        </w:rPr>
        <w:t>三、支出决算情况说明</w:t>
      </w:r>
    </w:p>
    <w:p w14:paraId="294101D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本年支出</w:t>
      </w:r>
      <w:r>
        <w:rPr>
          <w:rFonts w:hint="default" w:ascii="Times New Roman" w:hAnsi="Times New Roman" w:eastAsia="方正仿宋简体" w:cs="Times New Roman"/>
          <w:color w:val="auto"/>
          <w:sz w:val="32"/>
          <w:szCs w:val="32"/>
          <w:lang w:val="en-US"/>
        </w:rPr>
        <w:t>1,315.57</w:t>
      </w:r>
      <w:r>
        <w:rPr>
          <w:rFonts w:hint="default" w:ascii="Times New Roman" w:hAnsi="Times New Roman" w:eastAsia="方正仿宋简体" w:cs="Times New Roman"/>
          <w:color w:val="auto"/>
          <w:sz w:val="32"/>
          <w:szCs w:val="32"/>
        </w:rPr>
        <w:t>万元，其中：基本支出</w:t>
      </w:r>
      <w:r>
        <w:rPr>
          <w:rFonts w:hint="default" w:ascii="Times New Roman" w:hAnsi="Times New Roman" w:eastAsia="方正仿宋简体" w:cs="Times New Roman"/>
          <w:color w:val="auto"/>
          <w:sz w:val="32"/>
          <w:szCs w:val="32"/>
          <w:lang w:val="en-US"/>
        </w:rPr>
        <w:t>918.62</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69.83</w:t>
      </w:r>
      <w:r>
        <w:rPr>
          <w:rFonts w:hint="default" w:ascii="Times New Roman" w:hAnsi="Times New Roman" w:eastAsia="方正仿宋简体" w:cs="Times New Roman"/>
          <w:color w:val="auto"/>
          <w:sz w:val="32"/>
          <w:szCs w:val="32"/>
        </w:rPr>
        <w:t>%；项目支出</w:t>
      </w:r>
      <w:r>
        <w:rPr>
          <w:rFonts w:hint="default" w:ascii="Times New Roman" w:hAnsi="Times New Roman" w:eastAsia="方正仿宋简体" w:cs="Times New Roman"/>
          <w:color w:val="auto"/>
          <w:sz w:val="32"/>
          <w:szCs w:val="32"/>
          <w:lang w:val="en-US"/>
        </w:rPr>
        <w:t>396.95</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30.17</w:t>
      </w:r>
      <w:r>
        <w:rPr>
          <w:rFonts w:hint="default" w:ascii="Times New Roman" w:hAnsi="Times New Roman" w:eastAsia="方正仿宋简体" w:cs="Times New Roman"/>
          <w:color w:val="auto"/>
          <w:sz w:val="32"/>
          <w:szCs w:val="32"/>
        </w:rPr>
        <w:t>%；上缴上级支出</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%；经营支出</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%；对附属单位补助支出</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w:t>
      </w:r>
    </w:p>
    <w:p w14:paraId="6EA146F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黑体简体" w:hAnsi="方正黑体简体" w:eastAsia="方正黑体简体" w:cs="方正黑体简体"/>
          <w:b w:val="0"/>
          <w:bCs/>
          <w:color w:val="auto"/>
          <w:sz w:val="32"/>
          <w:szCs w:val="32"/>
        </w:rPr>
      </w:pPr>
      <w:r>
        <w:rPr>
          <w:rFonts w:hint="eastAsia" w:ascii="方正黑体简体" w:hAnsi="方正黑体简体" w:eastAsia="方正黑体简体" w:cs="方正黑体简体"/>
          <w:b w:val="0"/>
          <w:bCs/>
          <w:color w:val="auto"/>
          <w:sz w:val="32"/>
          <w:szCs w:val="32"/>
        </w:rPr>
        <w:t>四、财政拨款收入支出决算总体情况说明</w:t>
      </w:r>
    </w:p>
    <w:p w14:paraId="3CD7D43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年度财政拨款收入</w:t>
      </w:r>
      <w:r>
        <w:rPr>
          <w:rFonts w:hint="default" w:ascii="Times New Roman" w:hAnsi="Times New Roman" w:eastAsia="方正仿宋简体" w:cs="Times New Roman"/>
          <w:color w:val="auto"/>
          <w:sz w:val="32"/>
          <w:szCs w:val="32"/>
          <w:lang w:val="en-US"/>
        </w:rPr>
        <w:t>1,315.57</w:t>
      </w:r>
      <w:r>
        <w:rPr>
          <w:rFonts w:hint="default" w:ascii="Times New Roman" w:hAnsi="Times New Roman" w:eastAsia="方正仿宋简体" w:cs="Times New Roman"/>
          <w:color w:val="auto"/>
          <w:sz w:val="32"/>
          <w:szCs w:val="32"/>
        </w:rPr>
        <w:t>万元，支出</w:t>
      </w:r>
      <w:r>
        <w:rPr>
          <w:rFonts w:hint="default" w:ascii="Times New Roman" w:hAnsi="Times New Roman" w:eastAsia="方正仿宋简体" w:cs="Times New Roman"/>
          <w:color w:val="auto"/>
          <w:sz w:val="32"/>
          <w:szCs w:val="32"/>
          <w:lang w:val="en-US"/>
        </w:rPr>
        <w:t>1,315.57</w:t>
      </w:r>
      <w:r>
        <w:rPr>
          <w:rFonts w:hint="default" w:ascii="Times New Roman" w:hAnsi="Times New Roman" w:eastAsia="方正仿宋简体" w:cs="Times New Roman"/>
          <w:color w:val="auto"/>
          <w:sz w:val="32"/>
          <w:szCs w:val="32"/>
        </w:rPr>
        <w:t>万元。与</w:t>
      </w:r>
      <w:r>
        <w:rPr>
          <w:rFonts w:hint="default" w:ascii="Times New Roman" w:hAnsi="Times New Roman" w:eastAsia="方正仿宋简体" w:cs="Times New Roman"/>
          <w:color w:val="auto"/>
          <w:sz w:val="32"/>
          <w:szCs w:val="32"/>
          <w:lang w:val="en-US"/>
        </w:rPr>
        <w:t>2024</w:t>
      </w:r>
      <w:r>
        <w:rPr>
          <w:rFonts w:hint="default" w:ascii="Times New Roman" w:hAnsi="Times New Roman" w:eastAsia="方正仿宋简体" w:cs="Times New Roman"/>
          <w:color w:val="auto"/>
          <w:sz w:val="32"/>
          <w:szCs w:val="32"/>
        </w:rPr>
        <w:t>年度相比，财政拨款收入增加</w:t>
      </w:r>
      <w:r>
        <w:rPr>
          <w:rFonts w:hint="default" w:ascii="Times New Roman" w:hAnsi="Times New Roman" w:eastAsia="方正仿宋简体" w:cs="Times New Roman"/>
          <w:color w:val="auto"/>
          <w:sz w:val="32"/>
          <w:szCs w:val="32"/>
          <w:lang w:val="en-US" w:eastAsia="zh-CN"/>
        </w:rPr>
        <w:t>183.68</w:t>
      </w:r>
      <w:r>
        <w:rPr>
          <w:rFonts w:hint="default" w:ascii="Times New Roman" w:hAnsi="Times New Roman" w:eastAsia="方正仿宋简体" w:cs="Times New Roman"/>
          <w:color w:val="auto"/>
          <w:sz w:val="32"/>
          <w:szCs w:val="32"/>
        </w:rPr>
        <w:t>万元，增长</w:t>
      </w:r>
      <w:r>
        <w:rPr>
          <w:rFonts w:hint="default" w:ascii="Times New Roman" w:hAnsi="Times New Roman" w:eastAsia="方正仿宋简体" w:cs="Times New Roman"/>
          <w:color w:val="auto"/>
          <w:sz w:val="32"/>
          <w:szCs w:val="32"/>
          <w:lang w:val="en-US" w:eastAsia="zh-CN"/>
        </w:rPr>
        <w:t>16.23</w:t>
      </w:r>
      <w:r>
        <w:rPr>
          <w:rFonts w:hint="default" w:ascii="Times New Roman" w:hAnsi="Times New Roman" w:eastAsia="方正仿宋简体" w:cs="Times New Roman"/>
          <w:color w:val="auto"/>
          <w:sz w:val="32"/>
          <w:szCs w:val="32"/>
        </w:rPr>
        <w:t>%，主要原因</w:t>
      </w:r>
      <w:r>
        <w:rPr>
          <w:rFonts w:hint="default" w:ascii="Times New Roman" w:hAnsi="Times New Roman" w:eastAsia="方正仿宋简体" w:cs="Times New Roman"/>
          <w:color w:val="auto"/>
          <w:sz w:val="32"/>
          <w:szCs w:val="32"/>
          <w:lang w:val="en-US" w:eastAsia="zh-CN"/>
        </w:rPr>
        <w:t>是人员编制增加，人员经费相应增加</w:t>
      </w:r>
      <w:r>
        <w:rPr>
          <w:rFonts w:hint="default" w:ascii="Times New Roman" w:hAnsi="Times New Roman" w:eastAsia="方正仿宋简体" w:cs="Times New Roman"/>
          <w:color w:val="auto"/>
          <w:sz w:val="32"/>
          <w:szCs w:val="32"/>
        </w:rPr>
        <w:t>。支出增加</w:t>
      </w:r>
      <w:r>
        <w:rPr>
          <w:rFonts w:hint="default" w:ascii="Times New Roman" w:hAnsi="Times New Roman" w:eastAsia="方正仿宋简体" w:cs="Times New Roman"/>
          <w:color w:val="auto"/>
          <w:sz w:val="32"/>
          <w:szCs w:val="32"/>
          <w:lang w:val="en-US" w:eastAsia="zh-CN"/>
        </w:rPr>
        <w:t>183.68</w:t>
      </w:r>
      <w:r>
        <w:rPr>
          <w:rFonts w:hint="default" w:ascii="Times New Roman" w:hAnsi="Times New Roman" w:eastAsia="方正仿宋简体" w:cs="Times New Roman"/>
          <w:color w:val="auto"/>
          <w:sz w:val="32"/>
          <w:szCs w:val="32"/>
        </w:rPr>
        <w:t>万元，增长</w:t>
      </w:r>
      <w:r>
        <w:rPr>
          <w:rFonts w:hint="default" w:ascii="Times New Roman" w:hAnsi="Times New Roman" w:eastAsia="方正仿宋简体" w:cs="Times New Roman"/>
          <w:color w:val="auto"/>
          <w:sz w:val="32"/>
          <w:szCs w:val="32"/>
          <w:lang w:val="en-US" w:eastAsia="zh-CN"/>
        </w:rPr>
        <w:t>16.23</w:t>
      </w:r>
      <w:r>
        <w:rPr>
          <w:rFonts w:hint="default" w:ascii="Times New Roman" w:hAnsi="Times New Roman" w:eastAsia="方正仿宋简体" w:cs="Times New Roman"/>
          <w:color w:val="auto"/>
          <w:sz w:val="32"/>
          <w:szCs w:val="32"/>
        </w:rPr>
        <w:t>%，主要原因</w:t>
      </w:r>
      <w:r>
        <w:rPr>
          <w:rFonts w:hint="default" w:ascii="Times New Roman" w:hAnsi="Times New Roman" w:eastAsia="方正仿宋简体" w:cs="Times New Roman"/>
          <w:color w:val="auto"/>
          <w:sz w:val="32"/>
          <w:szCs w:val="32"/>
          <w:lang w:val="en-US" w:eastAsia="zh-CN"/>
        </w:rPr>
        <w:t>是人员编制增加，相应支出也随之增加</w:t>
      </w:r>
      <w:r>
        <w:rPr>
          <w:rFonts w:hint="default" w:ascii="Times New Roman" w:hAnsi="Times New Roman" w:eastAsia="方正仿宋简体" w:cs="Times New Roman"/>
          <w:color w:val="auto"/>
          <w:sz w:val="32"/>
          <w:szCs w:val="32"/>
        </w:rPr>
        <w:t>。</w:t>
      </w:r>
    </w:p>
    <w:p w14:paraId="2F2814C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财政拨款年初结转结余</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万元，较</w:t>
      </w:r>
      <w:r>
        <w:rPr>
          <w:rFonts w:hint="default" w:ascii="Times New Roman" w:hAnsi="Times New Roman" w:eastAsia="方正仿宋简体" w:cs="Times New Roman"/>
          <w:color w:val="auto"/>
          <w:sz w:val="32"/>
          <w:szCs w:val="32"/>
          <w:lang w:val="en-US"/>
        </w:rPr>
        <w:t>2024</w:t>
      </w:r>
      <w:r>
        <w:rPr>
          <w:rFonts w:hint="default" w:ascii="Times New Roman" w:hAnsi="Times New Roman" w:eastAsia="方正仿宋简体" w:cs="Times New Roman"/>
          <w:color w:val="auto"/>
          <w:sz w:val="32"/>
          <w:szCs w:val="32"/>
        </w:rPr>
        <w:t>年度决算数</w:t>
      </w:r>
      <w:r>
        <w:rPr>
          <w:rFonts w:hint="default" w:ascii="Times New Roman" w:hAnsi="Times New Roman" w:eastAsia="方正仿宋简体" w:cs="Times New Roman"/>
          <w:color w:val="auto"/>
          <w:sz w:val="32"/>
          <w:szCs w:val="32"/>
          <w:lang w:val="en-US" w:eastAsia="zh-CN"/>
        </w:rPr>
        <w:t>未发生</w:t>
      </w:r>
      <w:r>
        <w:rPr>
          <w:rFonts w:hint="default" w:ascii="Times New Roman" w:hAnsi="Times New Roman" w:eastAsia="方正仿宋简体" w:cs="Times New Roman"/>
          <w:color w:val="auto"/>
          <w:sz w:val="32"/>
          <w:szCs w:val="32"/>
        </w:rPr>
        <w:t>增加（减少）。</w:t>
      </w:r>
    </w:p>
    <w:p w14:paraId="604B142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财政拨款年末结转结余</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万元，较</w:t>
      </w:r>
      <w:r>
        <w:rPr>
          <w:rFonts w:hint="default" w:ascii="Times New Roman" w:hAnsi="Times New Roman" w:eastAsia="方正仿宋简体" w:cs="Times New Roman"/>
          <w:color w:val="auto"/>
          <w:sz w:val="32"/>
          <w:szCs w:val="32"/>
          <w:lang w:val="en-US"/>
        </w:rPr>
        <w:t>2024</w:t>
      </w:r>
      <w:r>
        <w:rPr>
          <w:rFonts w:hint="default" w:ascii="Times New Roman" w:hAnsi="Times New Roman" w:eastAsia="方正仿宋简体" w:cs="Times New Roman"/>
          <w:color w:val="auto"/>
          <w:sz w:val="32"/>
          <w:szCs w:val="32"/>
        </w:rPr>
        <w:t>年度决算数</w:t>
      </w:r>
      <w:r>
        <w:rPr>
          <w:rFonts w:hint="default" w:ascii="Times New Roman" w:hAnsi="Times New Roman" w:eastAsia="方正仿宋简体" w:cs="Times New Roman"/>
          <w:color w:val="auto"/>
          <w:sz w:val="32"/>
          <w:szCs w:val="32"/>
          <w:lang w:val="en-US" w:eastAsia="zh-CN"/>
        </w:rPr>
        <w:t>未发生</w:t>
      </w:r>
      <w:r>
        <w:rPr>
          <w:rFonts w:hint="default" w:ascii="Times New Roman" w:hAnsi="Times New Roman" w:eastAsia="方正仿宋简体" w:cs="Times New Roman"/>
          <w:color w:val="auto"/>
          <w:sz w:val="32"/>
          <w:szCs w:val="32"/>
        </w:rPr>
        <w:t>增加（减少）。</w:t>
      </w:r>
    </w:p>
    <w:p w14:paraId="7BE8C2ED">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方正黑体简体" w:hAnsi="方正黑体简体" w:eastAsia="方正黑体简体" w:cs="方正黑体简体"/>
          <w:b w:val="0"/>
          <w:bCs/>
          <w:color w:val="auto"/>
          <w:sz w:val="32"/>
          <w:szCs w:val="32"/>
        </w:rPr>
      </w:pPr>
      <w:r>
        <w:rPr>
          <w:rFonts w:hint="eastAsia" w:ascii="方正黑体简体" w:hAnsi="方正黑体简体" w:eastAsia="方正黑体简体" w:cs="方正黑体简体"/>
          <w:b w:val="0"/>
          <w:bCs/>
          <w:color w:val="auto"/>
          <w:sz w:val="32"/>
          <w:szCs w:val="32"/>
        </w:rPr>
        <w:t>五、一般公共预算财政拨款支出决算情况说明</w:t>
      </w:r>
    </w:p>
    <w:p w14:paraId="5561639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rPr>
      </w:pPr>
      <w:bookmarkStart w:id="77" w:name="_Toc17398_WPSOffice_Level2"/>
      <w:bookmarkStart w:id="78" w:name="_Toc23005_WPSOffice_Level2"/>
      <w:bookmarkStart w:id="79" w:name="_Toc21737_WPSOffice_Level2"/>
      <w:bookmarkStart w:id="80" w:name="_Toc19665_WPSOffice_Level2"/>
      <w:bookmarkStart w:id="81" w:name="_Toc9989_WPSOffice_Level2"/>
      <w:bookmarkStart w:id="82" w:name="_Toc13694_WPSOffice_Level2"/>
      <w:r>
        <w:rPr>
          <w:rFonts w:hint="eastAsia" w:ascii="方正楷体简体" w:hAnsi="方正楷体简体" w:eastAsia="方正楷体简体" w:cs="方正楷体简体"/>
          <w:color w:val="auto"/>
          <w:sz w:val="32"/>
          <w:szCs w:val="32"/>
        </w:rPr>
        <w:t>（一）一般公共预算财政拨款支出决算总体情况</w:t>
      </w:r>
      <w:bookmarkEnd w:id="77"/>
      <w:bookmarkEnd w:id="78"/>
      <w:bookmarkEnd w:id="79"/>
      <w:bookmarkEnd w:id="80"/>
      <w:bookmarkEnd w:id="81"/>
      <w:bookmarkEnd w:id="82"/>
    </w:p>
    <w:p w14:paraId="3F739D5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年度一般公共预算财政拨款支出</w:t>
      </w:r>
      <w:r>
        <w:rPr>
          <w:rFonts w:hint="default" w:ascii="Times New Roman" w:hAnsi="Times New Roman" w:eastAsia="方正仿宋简体" w:cs="Times New Roman"/>
          <w:color w:val="auto"/>
          <w:sz w:val="32"/>
          <w:szCs w:val="32"/>
          <w:lang w:val="en-US"/>
        </w:rPr>
        <w:t>1,315.57</w:t>
      </w:r>
      <w:r>
        <w:rPr>
          <w:rFonts w:hint="default" w:ascii="Times New Roman" w:hAnsi="Times New Roman" w:eastAsia="方正仿宋简体" w:cs="Times New Roman"/>
          <w:color w:val="auto"/>
          <w:sz w:val="32"/>
          <w:szCs w:val="32"/>
        </w:rPr>
        <w:t>万元，占本年支出合计的</w:t>
      </w:r>
      <w:r>
        <w:rPr>
          <w:rFonts w:hint="default" w:ascii="Times New Roman" w:hAnsi="Times New Roman" w:eastAsia="方正仿宋简体" w:cs="Times New Roman"/>
          <w:color w:val="auto"/>
          <w:sz w:val="32"/>
          <w:szCs w:val="32"/>
          <w:lang w:val="en-US" w:eastAsia="zh-CN"/>
        </w:rPr>
        <w:t>100</w:t>
      </w:r>
      <w:r>
        <w:rPr>
          <w:rFonts w:hint="default" w:ascii="Times New Roman" w:hAnsi="Times New Roman" w:eastAsia="方正仿宋简体" w:cs="Times New Roman"/>
          <w:color w:val="auto"/>
          <w:sz w:val="32"/>
          <w:szCs w:val="32"/>
        </w:rPr>
        <w:t>%。与</w:t>
      </w:r>
      <w:r>
        <w:rPr>
          <w:rFonts w:hint="default" w:ascii="Times New Roman" w:hAnsi="Times New Roman" w:eastAsia="方正仿宋简体" w:cs="Times New Roman"/>
          <w:color w:val="auto"/>
          <w:sz w:val="32"/>
          <w:szCs w:val="32"/>
          <w:lang w:val="en-US"/>
        </w:rPr>
        <w:t>2024</w:t>
      </w:r>
      <w:r>
        <w:rPr>
          <w:rFonts w:hint="default" w:ascii="Times New Roman" w:hAnsi="Times New Roman" w:eastAsia="方正仿宋简体" w:cs="Times New Roman"/>
          <w:color w:val="auto"/>
          <w:sz w:val="32"/>
          <w:szCs w:val="32"/>
        </w:rPr>
        <w:t>年度相比，一般公共预算财政拨款支出增加（减少）</w:t>
      </w:r>
      <w:r>
        <w:rPr>
          <w:rFonts w:hint="default" w:ascii="Times New Roman" w:hAnsi="Times New Roman" w:eastAsia="方正仿宋简体" w:cs="Times New Roman"/>
          <w:color w:val="auto"/>
          <w:sz w:val="32"/>
          <w:szCs w:val="32"/>
          <w:lang w:val="en-US" w:eastAsia="zh-CN"/>
        </w:rPr>
        <w:t>183.68</w:t>
      </w:r>
      <w:r>
        <w:rPr>
          <w:rFonts w:hint="default" w:ascii="Times New Roman" w:hAnsi="Times New Roman" w:eastAsia="方正仿宋简体" w:cs="Times New Roman"/>
          <w:color w:val="auto"/>
          <w:sz w:val="32"/>
          <w:szCs w:val="32"/>
        </w:rPr>
        <w:t>万元，增长</w:t>
      </w:r>
      <w:r>
        <w:rPr>
          <w:rFonts w:hint="default" w:ascii="Times New Roman" w:hAnsi="Times New Roman" w:eastAsia="方正仿宋简体" w:cs="Times New Roman"/>
          <w:color w:val="auto"/>
          <w:sz w:val="32"/>
          <w:szCs w:val="32"/>
          <w:lang w:val="en-US" w:eastAsia="zh-CN"/>
        </w:rPr>
        <w:t>16.23</w:t>
      </w:r>
      <w:r>
        <w:rPr>
          <w:rFonts w:hint="default" w:ascii="Times New Roman" w:hAnsi="Times New Roman" w:eastAsia="方正仿宋简体" w:cs="Times New Roman"/>
          <w:color w:val="auto"/>
          <w:sz w:val="32"/>
          <w:szCs w:val="32"/>
        </w:rPr>
        <w:t>%。主要原因是</w:t>
      </w:r>
      <w:bookmarkStart w:id="83" w:name="_Toc2711_WPSOffice_Level2"/>
      <w:bookmarkStart w:id="84" w:name="_Toc19535_WPSOffice_Level2"/>
      <w:bookmarkStart w:id="85" w:name="_Toc19075_WPSOffice_Level2"/>
      <w:bookmarkStart w:id="86" w:name="_Toc18793_WPSOffice_Level2"/>
      <w:bookmarkStart w:id="87" w:name="_Toc27767_WPSOffice_Level2"/>
      <w:bookmarkStart w:id="88" w:name="_Toc23864_WPSOffice_Level2"/>
      <w:r>
        <w:rPr>
          <w:rFonts w:hint="default" w:ascii="Times New Roman" w:hAnsi="Times New Roman" w:eastAsia="方正仿宋简体" w:cs="Times New Roman"/>
          <w:color w:val="auto"/>
          <w:sz w:val="32"/>
          <w:szCs w:val="32"/>
          <w:lang w:val="en-US" w:eastAsia="zh-CN"/>
        </w:rPr>
        <w:t>人员编制增加，相应支出也随之增加</w:t>
      </w:r>
      <w:r>
        <w:rPr>
          <w:rFonts w:hint="default" w:ascii="Times New Roman" w:hAnsi="Times New Roman" w:eastAsia="方正仿宋简体" w:cs="Times New Roman"/>
          <w:color w:val="auto"/>
          <w:sz w:val="32"/>
          <w:szCs w:val="32"/>
        </w:rPr>
        <w:t>。</w:t>
      </w:r>
    </w:p>
    <w:p w14:paraId="02CF4A3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rPr>
      </w:pPr>
      <w:r>
        <w:rPr>
          <w:rFonts w:hint="eastAsia" w:ascii="方正楷体简体" w:hAnsi="方正楷体简体" w:eastAsia="方正楷体简体" w:cs="方正楷体简体"/>
          <w:color w:val="auto"/>
          <w:sz w:val="32"/>
          <w:szCs w:val="32"/>
        </w:rPr>
        <w:t>（二）一般公共预算财政拨款支出决算结构情况</w:t>
      </w:r>
      <w:bookmarkEnd w:id="83"/>
      <w:bookmarkEnd w:id="84"/>
      <w:bookmarkEnd w:id="85"/>
      <w:bookmarkEnd w:id="86"/>
      <w:bookmarkEnd w:id="87"/>
      <w:bookmarkEnd w:id="88"/>
    </w:p>
    <w:p w14:paraId="1BE4645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年度一般公共预算财政拨款支出</w:t>
      </w:r>
      <w:r>
        <w:rPr>
          <w:rFonts w:hint="default" w:ascii="Times New Roman" w:hAnsi="Times New Roman" w:eastAsia="方正仿宋简体" w:cs="Times New Roman"/>
          <w:color w:val="auto"/>
          <w:sz w:val="32"/>
          <w:szCs w:val="32"/>
          <w:lang w:val="en-US"/>
        </w:rPr>
        <w:t>1,315.57</w:t>
      </w:r>
      <w:r>
        <w:rPr>
          <w:rFonts w:hint="default" w:ascii="Times New Roman" w:hAnsi="Times New Roman" w:eastAsia="方正仿宋简体" w:cs="Times New Roman"/>
          <w:color w:val="auto"/>
          <w:sz w:val="32"/>
          <w:szCs w:val="32"/>
        </w:rPr>
        <w:t>万元，主要用于以下方面：</w:t>
      </w:r>
      <w:r>
        <w:rPr>
          <w:rFonts w:hint="default" w:ascii="Times New Roman" w:hAnsi="Times New Roman" w:eastAsia="方正仿宋简体" w:cs="Times New Roman"/>
          <w:color w:val="auto"/>
          <w:sz w:val="32"/>
          <w:szCs w:val="32"/>
          <w:lang w:val="en-US" w:eastAsia="zh-CN"/>
        </w:rPr>
        <w:t>一般公共服务支出851.44万元，</w:t>
      </w:r>
      <w:r>
        <w:rPr>
          <w:rFonts w:hint="default" w:ascii="Times New Roman" w:hAnsi="Times New Roman" w:eastAsia="方正仿宋简体" w:cs="Times New Roman"/>
          <w:color w:val="auto"/>
          <w:sz w:val="32"/>
          <w:szCs w:val="32"/>
        </w:rPr>
        <w:t>占</w:t>
      </w:r>
      <w:r>
        <w:rPr>
          <w:rFonts w:hint="default" w:ascii="Times New Roman" w:hAnsi="Times New Roman" w:eastAsia="方正仿宋简体" w:cs="Times New Roman"/>
          <w:color w:val="auto"/>
          <w:sz w:val="32"/>
          <w:szCs w:val="32"/>
          <w:lang w:val="en-US" w:eastAsia="zh-CN"/>
        </w:rPr>
        <w:t>64.72</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社会保障和就业支出76.95万元，</w:t>
      </w:r>
      <w:r>
        <w:rPr>
          <w:rFonts w:hint="default" w:ascii="Times New Roman" w:hAnsi="Times New Roman" w:eastAsia="方正仿宋简体" w:cs="Times New Roman"/>
          <w:color w:val="auto"/>
          <w:sz w:val="32"/>
          <w:szCs w:val="32"/>
        </w:rPr>
        <w:t>占</w:t>
      </w:r>
      <w:r>
        <w:rPr>
          <w:rFonts w:hint="default" w:ascii="Times New Roman" w:hAnsi="Times New Roman" w:eastAsia="方正仿宋简体" w:cs="Times New Roman"/>
          <w:color w:val="auto"/>
          <w:sz w:val="32"/>
          <w:szCs w:val="32"/>
          <w:lang w:val="en-US" w:eastAsia="zh-CN"/>
        </w:rPr>
        <w:t>5.85</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卫生健康支出48.42万元，</w:t>
      </w:r>
      <w:r>
        <w:rPr>
          <w:rFonts w:hint="default" w:ascii="Times New Roman" w:hAnsi="Times New Roman" w:eastAsia="方正仿宋简体" w:cs="Times New Roman"/>
          <w:color w:val="auto"/>
          <w:sz w:val="32"/>
          <w:szCs w:val="32"/>
        </w:rPr>
        <w:t>占</w:t>
      </w:r>
      <w:r>
        <w:rPr>
          <w:rFonts w:hint="default" w:ascii="Times New Roman" w:hAnsi="Times New Roman" w:eastAsia="方正仿宋简体" w:cs="Times New Roman"/>
          <w:color w:val="auto"/>
          <w:sz w:val="32"/>
          <w:szCs w:val="32"/>
          <w:lang w:val="en-US" w:eastAsia="zh-CN"/>
        </w:rPr>
        <w:t>3.68</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资源勘探工业信息等支出283万元，</w:t>
      </w:r>
      <w:r>
        <w:rPr>
          <w:rFonts w:hint="default" w:ascii="Times New Roman" w:hAnsi="Times New Roman" w:eastAsia="方正仿宋简体" w:cs="Times New Roman"/>
          <w:color w:val="auto"/>
          <w:sz w:val="32"/>
          <w:szCs w:val="32"/>
        </w:rPr>
        <w:t>占</w:t>
      </w:r>
      <w:r>
        <w:rPr>
          <w:rFonts w:hint="default" w:ascii="Times New Roman" w:hAnsi="Times New Roman" w:eastAsia="方正仿宋简体" w:cs="Times New Roman"/>
          <w:color w:val="auto"/>
          <w:sz w:val="32"/>
          <w:szCs w:val="32"/>
          <w:lang w:val="en-US" w:eastAsia="zh-CN"/>
        </w:rPr>
        <w:t>21.51</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val="en-US" w:eastAsia="zh-CN"/>
        </w:rPr>
        <w:t>住房保障支出55.76万元</w:t>
      </w:r>
      <w:r>
        <w:rPr>
          <w:rFonts w:hint="default" w:ascii="Times New Roman" w:hAnsi="Times New Roman" w:eastAsia="方正仿宋简体" w:cs="Times New Roman"/>
          <w:color w:val="auto"/>
          <w:sz w:val="32"/>
          <w:szCs w:val="32"/>
        </w:rPr>
        <w:t>，占</w:t>
      </w:r>
      <w:r>
        <w:rPr>
          <w:rFonts w:hint="default" w:ascii="Times New Roman" w:hAnsi="Times New Roman" w:eastAsia="方正仿宋简体" w:cs="Times New Roman"/>
          <w:color w:val="auto"/>
          <w:sz w:val="32"/>
          <w:szCs w:val="32"/>
          <w:lang w:val="en-US" w:eastAsia="zh-CN"/>
        </w:rPr>
        <w:t>4.24</w:t>
      </w:r>
      <w:r>
        <w:rPr>
          <w:rFonts w:hint="default" w:ascii="Times New Roman" w:hAnsi="Times New Roman" w:eastAsia="方正仿宋简体" w:cs="Times New Roman"/>
          <w:color w:val="auto"/>
          <w:sz w:val="32"/>
          <w:szCs w:val="32"/>
        </w:rPr>
        <w:t>%。</w:t>
      </w:r>
    </w:p>
    <w:p w14:paraId="51B5561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rPr>
      </w:pPr>
      <w:bookmarkStart w:id="89" w:name="_Toc9502_WPSOffice_Level2"/>
      <w:bookmarkStart w:id="90" w:name="_Toc25136_WPSOffice_Level2"/>
      <w:bookmarkStart w:id="91" w:name="_Toc15415_WPSOffice_Level2"/>
      <w:bookmarkStart w:id="92" w:name="_Toc29364_WPSOffice_Level2"/>
      <w:bookmarkStart w:id="93" w:name="_Toc22318_WPSOffice_Level2"/>
      <w:bookmarkStart w:id="94" w:name="_Toc21701_WPSOffice_Level2"/>
      <w:r>
        <w:rPr>
          <w:rFonts w:hint="eastAsia" w:ascii="方正楷体简体" w:hAnsi="方正楷体简体" w:eastAsia="方正楷体简体" w:cs="方正楷体简体"/>
          <w:color w:val="auto"/>
          <w:sz w:val="32"/>
          <w:szCs w:val="32"/>
        </w:rPr>
        <w:t>（三）一般公共预算财政拨款支出决算具体情况</w:t>
      </w:r>
      <w:bookmarkEnd w:id="89"/>
      <w:bookmarkEnd w:id="90"/>
      <w:bookmarkEnd w:id="91"/>
      <w:bookmarkEnd w:id="92"/>
      <w:bookmarkEnd w:id="93"/>
      <w:bookmarkEnd w:id="94"/>
    </w:p>
    <w:p w14:paraId="04217A6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val="0"/>
          <w:color w:val="auto"/>
          <w:sz w:val="32"/>
          <w:szCs w:val="32"/>
        </w:rPr>
      </w:pPr>
      <w:r>
        <w:rPr>
          <w:rFonts w:hint="default" w:ascii="Times New Roman" w:hAnsi="Times New Roman" w:eastAsia="方正仿宋简体" w:cs="Times New Roman"/>
          <w:b w:val="0"/>
          <w:bCs w:val="0"/>
          <w:color w:val="auto"/>
          <w:sz w:val="32"/>
          <w:szCs w:val="32"/>
          <w:lang w:val="en-US"/>
        </w:rPr>
        <w:t>2025</w:t>
      </w:r>
      <w:r>
        <w:rPr>
          <w:rFonts w:hint="default" w:ascii="Times New Roman" w:hAnsi="Times New Roman" w:eastAsia="方正仿宋简体" w:cs="Times New Roman"/>
          <w:b w:val="0"/>
          <w:bCs w:val="0"/>
          <w:color w:val="auto"/>
          <w:sz w:val="32"/>
          <w:szCs w:val="32"/>
        </w:rPr>
        <w:t>年度一般公共预算财政拨款支出年初预算为</w:t>
      </w:r>
      <w:r>
        <w:rPr>
          <w:rFonts w:hint="default" w:ascii="Times New Roman" w:hAnsi="Times New Roman" w:eastAsia="方正仿宋简体" w:cs="Times New Roman"/>
          <w:b w:val="0"/>
          <w:bCs w:val="0"/>
          <w:color w:val="auto"/>
          <w:sz w:val="32"/>
          <w:szCs w:val="32"/>
          <w:lang w:val="en-US" w:eastAsia="zh-CN"/>
        </w:rPr>
        <w:t>796.06</w:t>
      </w:r>
      <w:r>
        <w:rPr>
          <w:rFonts w:hint="default" w:ascii="Times New Roman" w:hAnsi="Times New Roman" w:eastAsia="方正仿宋简体" w:cs="Times New Roman"/>
          <w:b w:val="0"/>
          <w:bCs w:val="0"/>
          <w:color w:val="auto"/>
          <w:sz w:val="32"/>
          <w:szCs w:val="32"/>
        </w:rPr>
        <w:t>万元，支出决算为</w:t>
      </w:r>
      <w:r>
        <w:rPr>
          <w:rFonts w:hint="default" w:ascii="Times New Roman" w:hAnsi="Times New Roman" w:eastAsia="方正仿宋简体" w:cs="Times New Roman"/>
          <w:b w:val="0"/>
          <w:bCs w:val="0"/>
          <w:color w:val="auto"/>
          <w:sz w:val="32"/>
          <w:szCs w:val="32"/>
          <w:lang w:val="en-US"/>
        </w:rPr>
        <w:t>1,315.57</w:t>
      </w:r>
      <w:r>
        <w:rPr>
          <w:rFonts w:hint="default" w:ascii="Times New Roman" w:hAnsi="Times New Roman" w:eastAsia="方正仿宋简体" w:cs="Times New Roman"/>
          <w:b w:val="0"/>
          <w:bCs w:val="0"/>
          <w:color w:val="auto"/>
          <w:sz w:val="32"/>
          <w:szCs w:val="32"/>
        </w:rPr>
        <w:t>万元，完成年初预算的</w:t>
      </w:r>
      <w:r>
        <w:rPr>
          <w:rFonts w:hint="default" w:ascii="Times New Roman" w:hAnsi="Times New Roman" w:eastAsia="方正仿宋简体" w:cs="Times New Roman"/>
          <w:b w:val="0"/>
          <w:bCs w:val="0"/>
          <w:color w:val="auto"/>
          <w:sz w:val="32"/>
          <w:szCs w:val="32"/>
          <w:lang w:val="en-US"/>
        </w:rPr>
        <w:t>XXXX</w:t>
      </w:r>
      <w:r>
        <w:rPr>
          <w:rFonts w:hint="default" w:ascii="Times New Roman" w:hAnsi="Times New Roman" w:eastAsia="方正仿宋简体" w:cs="Times New Roman"/>
          <w:b w:val="0"/>
          <w:bCs w:val="0"/>
          <w:color w:val="auto"/>
          <w:sz w:val="32"/>
          <w:szCs w:val="32"/>
        </w:rPr>
        <w:t>%。其中：</w:t>
      </w:r>
    </w:p>
    <w:p w14:paraId="6468757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val="0"/>
          <w:color w:val="auto"/>
          <w:sz w:val="32"/>
          <w:szCs w:val="32"/>
        </w:rPr>
      </w:pPr>
      <w:r>
        <w:rPr>
          <w:rFonts w:hint="default" w:ascii="Times New Roman" w:hAnsi="Times New Roman" w:eastAsia="方正仿宋简体" w:cs="Times New Roman"/>
          <w:b w:val="0"/>
          <w:bCs w:val="0"/>
          <w:color w:val="auto"/>
          <w:sz w:val="32"/>
          <w:szCs w:val="32"/>
        </w:rPr>
        <w:t>1.一般公共服务</w:t>
      </w:r>
      <w:r>
        <w:rPr>
          <w:rFonts w:hint="default" w:ascii="Times New Roman" w:hAnsi="Times New Roman" w:eastAsia="方正仿宋简体" w:cs="Times New Roman"/>
          <w:b w:val="0"/>
          <w:bCs w:val="0"/>
          <w:color w:val="auto"/>
          <w:sz w:val="32"/>
          <w:szCs w:val="32"/>
          <w:lang w:val="en-US" w:eastAsia="zh-CN"/>
        </w:rPr>
        <w:t>支出</w:t>
      </w:r>
      <w:r>
        <w:rPr>
          <w:rFonts w:hint="default" w:ascii="Times New Roman" w:hAnsi="Times New Roman" w:eastAsia="方正仿宋简体" w:cs="Times New Roman"/>
          <w:b w:val="0"/>
          <w:bCs w:val="0"/>
          <w:color w:val="auto"/>
          <w:sz w:val="32"/>
          <w:szCs w:val="32"/>
        </w:rPr>
        <w:t>（类）</w:t>
      </w:r>
      <w:r>
        <w:rPr>
          <w:rFonts w:hint="default" w:ascii="Times New Roman" w:hAnsi="Times New Roman" w:eastAsia="方正仿宋简体" w:cs="Times New Roman"/>
          <w:b w:val="0"/>
          <w:bCs w:val="0"/>
          <w:color w:val="auto"/>
          <w:sz w:val="32"/>
          <w:szCs w:val="32"/>
          <w:lang w:val="en-US" w:eastAsia="zh-CN"/>
        </w:rPr>
        <w:t>党委办公厅（室）及相关机构事务</w:t>
      </w:r>
      <w:r>
        <w:rPr>
          <w:rFonts w:hint="default" w:ascii="Times New Roman" w:hAnsi="Times New Roman" w:eastAsia="方正仿宋简体" w:cs="Times New Roman"/>
          <w:b w:val="0"/>
          <w:bCs w:val="0"/>
          <w:color w:val="auto"/>
          <w:sz w:val="32"/>
          <w:szCs w:val="32"/>
        </w:rPr>
        <w:t>（款）</w:t>
      </w:r>
      <w:r>
        <w:rPr>
          <w:rFonts w:hint="default" w:ascii="Times New Roman" w:hAnsi="Times New Roman" w:eastAsia="方正仿宋简体" w:cs="Times New Roman"/>
          <w:b w:val="0"/>
          <w:bCs w:val="0"/>
          <w:color w:val="auto"/>
          <w:sz w:val="32"/>
          <w:szCs w:val="32"/>
          <w:lang w:val="en-US" w:eastAsia="zh-CN"/>
        </w:rPr>
        <w:t>行政运行</w:t>
      </w:r>
      <w:r>
        <w:rPr>
          <w:rFonts w:hint="default" w:ascii="Times New Roman" w:hAnsi="Times New Roman" w:eastAsia="方正仿宋简体" w:cs="Times New Roman"/>
          <w:b w:val="0"/>
          <w:bCs w:val="0"/>
          <w:color w:val="auto"/>
          <w:sz w:val="32"/>
          <w:szCs w:val="32"/>
        </w:rPr>
        <w:t>（项）</w:t>
      </w:r>
      <w:r>
        <w:rPr>
          <w:rFonts w:hint="default" w:ascii="Times New Roman" w:hAnsi="Times New Roman" w:eastAsia="方正仿宋简体" w:cs="Times New Roman"/>
          <w:b w:val="0"/>
          <w:bCs w:val="0"/>
          <w:color w:val="auto"/>
          <w:sz w:val="32"/>
          <w:szCs w:val="32"/>
          <w:lang w:val="en-US" w:eastAsia="zh-CN"/>
        </w:rPr>
        <w:t>其他党委办公厅（室）及相关机构事务（项）</w:t>
      </w:r>
      <w:r>
        <w:rPr>
          <w:rFonts w:hint="default" w:ascii="Times New Roman" w:hAnsi="Times New Roman" w:eastAsia="方正仿宋简体" w:cs="Times New Roman"/>
          <w:b w:val="0"/>
          <w:bCs w:val="0"/>
          <w:color w:val="auto"/>
          <w:sz w:val="32"/>
          <w:szCs w:val="32"/>
        </w:rPr>
        <w:t>年初预算为</w:t>
      </w:r>
      <w:r>
        <w:rPr>
          <w:rFonts w:hint="default" w:ascii="Times New Roman" w:hAnsi="Times New Roman" w:eastAsia="方正仿宋简体" w:cs="Times New Roman"/>
          <w:b w:val="0"/>
          <w:bCs w:val="0"/>
          <w:color w:val="auto"/>
          <w:sz w:val="32"/>
          <w:szCs w:val="32"/>
          <w:lang w:val="en-US" w:eastAsia="zh-CN"/>
        </w:rPr>
        <w:t>606.84</w:t>
      </w:r>
      <w:r>
        <w:rPr>
          <w:rFonts w:hint="default" w:ascii="Times New Roman" w:hAnsi="Times New Roman" w:eastAsia="方正仿宋简体" w:cs="Times New Roman"/>
          <w:b w:val="0"/>
          <w:bCs w:val="0"/>
          <w:color w:val="auto"/>
          <w:sz w:val="32"/>
          <w:szCs w:val="32"/>
        </w:rPr>
        <w:t>万元，支出决算为</w:t>
      </w:r>
      <w:r>
        <w:rPr>
          <w:rFonts w:hint="default" w:ascii="Times New Roman" w:hAnsi="Times New Roman" w:eastAsia="方正仿宋简体" w:cs="Times New Roman"/>
          <w:b w:val="0"/>
          <w:bCs w:val="0"/>
          <w:color w:val="auto"/>
          <w:sz w:val="32"/>
          <w:szCs w:val="32"/>
          <w:lang w:val="en-US" w:eastAsia="zh-CN"/>
        </w:rPr>
        <w:t>809.37</w:t>
      </w:r>
      <w:r>
        <w:rPr>
          <w:rFonts w:hint="default" w:ascii="Times New Roman" w:hAnsi="Times New Roman" w:eastAsia="方正仿宋简体" w:cs="Times New Roman"/>
          <w:b w:val="0"/>
          <w:bCs w:val="0"/>
          <w:color w:val="auto"/>
          <w:sz w:val="32"/>
          <w:szCs w:val="32"/>
        </w:rPr>
        <w:t>万元，完成年初预算的</w:t>
      </w:r>
      <w:r>
        <w:rPr>
          <w:rFonts w:hint="default" w:ascii="Times New Roman" w:hAnsi="Times New Roman" w:eastAsia="方正仿宋简体" w:cs="Times New Roman"/>
          <w:b w:val="0"/>
          <w:bCs w:val="0"/>
          <w:color w:val="auto"/>
          <w:sz w:val="32"/>
          <w:szCs w:val="32"/>
          <w:lang w:val="en-US" w:eastAsia="zh-CN"/>
        </w:rPr>
        <w:t>133.37</w:t>
      </w:r>
      <w:r>
        <w:rPr>
          <w:rFonts w:hint="default" w:ascii="Times New Roman" w:hAnsi="Times New Roman" w:eastAsia="方正仿宋简体" w:cs="Times New Roman"/>
          <w:b w:val="0"/>
          <w:bCs w:val="0"/>
          <w:color w:val="auto"/>
          <w:sz w:val="32"/>
          <w:szCs w:val="32"/>
        </w:rPr>
        <w:t>%。决算数</w:t>
      </w:r>
      <w:r>
        <w:rPr>
          <w:rFonts w:hint="default" w:ascii="Times New Roman" w:hAnsi="Times New Roman" w:eastAsia="方正仿宋简体" w:cs="Times New Roman"/>
          <w:b w:val="0"/>
          <w:bCs w:val="0"/>
          <w:color w:val="auto"/>
          <w:sz w:val="32"/>
          <w:szCs w:val="32"/>
          <w:lang w:val="en-US" w:eastAsia="zh-CN"/>
        </w:rPr>
        <w:t>大于</w:t>
      </w:r>
      <w:r>
        <w:rPr>
          <w:rFonts w:hint="default" w:ascii="Times New Roman" w:hAnsi="Times New Roman" w:eastAsia="方正仿宋简体" w:cs="Times New Roman"/>
          <w:b w:val="0"/>
          <w:bCs w:val="0"/>
          <w:color w:val="auto"/>
          <w:sz w:val="32"/>
          <w:szCs w:val="32"/>
        </w:rPr>
        <w:t>预算数</w:t>
      </w:r>
      <w:r>
        <w:rPr>
          <w:rFonts w:hint="default" w:ascii="Times New Roman" w:hAnsi="Times New Roman" w:eastAsia="方正仿宋简体" w:cs="Times New Roman"/>
          <w:b w:val="0"/>
          <w:bCs w:val="0"/>
          <w:color w:val="auto"/>
          <w:sz w:val="32"/>
          <w:szCs w:val="32"/>
          <w:lang w:eastAsia="zh-CN"/>
        </w:rPr>
        <w:t>，</w:t>
      </w:r>
      <w:r>
        <w:rPr>
          <w:rFonts w:hint="default" w:ascii="Times New Roman" w:hAnsi="Times New Roman" w:eastAsia="方正仿宋简体" w:cs="Times New Roman"/>
          <w:b w:val="0"/>
          <w:bCs w:val="0"/>
          <w:color w:val="auto"/>
          <w:sz w:val="32"/>
          <w:szCs w:val="32"/>
        </w:rPr>
        <w:t>主要原因</w:t>
      </w:r>
      <w:r>
        <w:rPr>
          <w:rFonts w:hint="default" w:ascii="Times New Roman" w:hAnsi="Times New Roman" w:eastAsia="方正仿宋简体" w:cs="Times New Roman"/>
          <w:b w:val="0"/>
          <w:bCs w:val="0"/>
          <w:color w:val="auto"/>
          <w:sz w:val="32"/>
          <w:szCs w:val="32"/>
          <w:lang w:val="en-US" w:eastAsia="zh-CN"/>
        </w:rPr>
        <w:t>是办公室搬迁，后期追加相应工作经费，造成支出规模增加</w:t>
      </w:r>
      <w:r>
        <w:rPr>
          <w:rFonts w:hint="default" w:ascii="Times New Roman" w:hAnsi="Times New Roman" w:eastAsia="方正仿宋简体" w:cs="Times New Roman"/>
          <w:b w:val="0"/>
          <w:bCs w:val="0"/>
          <w:color w:val="auto"/>
          <w:sz w:val="32"/>
          <w:szCs w:val="32"/>
        </w:rPr>
        <w:t>。</w:t>
      </w:r>
    </w:p>
    <w:p w14:paraId="6C2E261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val="0"/>
          <w:color w:val="auto"/>
          <w:sz w:val="32"/>
          <w:szCs w:val="32"/>
          <w:lang w:val="en-US" w:eastAsia="zh-CN"/>
        </w:rPr>
      </w:pPr>
      <w:r>
        <w:rPr>
          <w:rFonts w:hint="default" w:ascii="Times New Roman" w:hAnsi="Times New Roman" w:eastAsia="方正仿宋简体" w:cs="Times New Roman"/>
          <w:b w:val="0"/>
          <w:bCs w:val="0"/>
          <w:color w:val="auto"/>
          <w:sz w:val="32"/>
          <w:szCs w:val="32"/>
        </w:rPr>
        <w:t xml:space="preserve">  2.</w:t>
      </w:r>
      <w:r>
        <w:rPr>
          <w:rFonts w:hint="default" w:ascii="Times New Roman" w:hAnsi="Times New Roman" w:eastAsia="方正仿宋简体" w:cs="Times New Roman"/>
          <w:b w:val="0"/>
          <w:bCs w:val="0"/>
          <w:color w:val="auto"/>
          <w:sz w:val="32"/>
          <w:szCs w:val="32"/>
          <w:lang w:val="en-US" w:eastAsia="zh-CN"/>
        </w:rPr>
        <w:t>一般公共服务支出（类）政府办公厅（室）及相关机关机构事务（款）其他政府办公厅（室）及相关机关事务（项）本年度该项目支出决算0.5万元，年初未安排对应预算，无预算完成比例。决算支出大于年初预算，主要原因是本单位2024年度考核获评优秀，按政策发放考核奖励资金0.5万元，形成该项实际支出。</w:t>
      </w:r>
    </w:p>
    <w:p w14:paraId="3CA8F8D2">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val="0"/>
          <w:color w:val="auto"/>
          <w:sz w:val="32"/>
          <w:szCs w:val="32"/>
          <w:lang w:val="en-US" w:eastAsia="zh-CN"/>
        </w:rPr>
      </w:pPr>
      <w:r>
        <w:rPr>
          <w:rFonts w:hint="default" w:ascii="Times New Roman" w:hAnsi="Times New Roman" w:eastAsia="方正仿宋简体" w:cs="Times New Roman"/>
          <w:b w:val="0"/>
          <w:bCs w:val="0"/>
          <w:color w:val="auto"/>
          <w:sz w:val="32"/>
          <w:szCs w:val="32"/>
        </w:rPr>
        <w:t xml:space="preserve"> </w:t>
      </w:r>
      <w:r>
        <w:rPr>
          <w:rFonts w:hint="default" w:ascii="Times New Roman" w:hAnsi="Times New Roman" w:eastAsia="方正仿宋简体" w:cs="Times New Roman"/>
          <w:b w:val="0"/>
          <w:bCs w:val="0"/>
          <w:color w:val="auto"/>
          <w:sz w:val="32"/>
          <w:szCs w:val="32"/>
          <w:lang w:val="en-US" w:eastAsia="zh-CN"/>
        </w:rPr>
        <w:t>3</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一般公共服务支出（类）档案事务（款）行政运行（项）本年度年初未安排对应预算，决算支出34.98万元，决算支出大于年初预算，主要原因是9月份按程序开展预算调整，追加档案数字化建设、年鉴及党史大事记编制相关经费，由此形成该项实际支出。</w:t>
      </w:r>
    </w:p>
    <w:p w14:paraId="55E99C9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val="0"/>
          <w:color w:val="auto"/>
          <w:sz w:val="32"/>
          <w:szCs w:val="32"/>
          <w:lang w:val="en-US" w:eastAsia="zh-CN"/>
        </w:rPr>
      </w:pPr>
      <w:r>
        <w:rPr>
          <w:rFonts w:hint="default" w:ascii="Times New Roman" w:hAnsi="Times New Roman" w:eastAsia="方正仿宋简体" w:cs="Times New Roman"/>
          <w:b w:val="0"/>
          <w:bCs w:val="0"/>
          <w:color w:val="auto"/>
          <w:sz w:val="32"/>
          <w:szCs w:val="32"/>
        </w:rPr>
        <w:t xml:space="preserve"> </w:t>
      </w:r>
      <w:r>
        <w:rPr>
          <w:rFonts w:hint="default" w:ascii="Times New Roman" w:hAnsi="Times New Roman" w:eastAsia="方正仿宋简体" w:cs="Times New Roman"/>
          <w:b w:val="0"/>
          <w:bCs w:val="0"/>
          <w:color w:val="auto"/>
          <w:sz w:val="32"/>
          <w:szCs w:val="32"/>
          <w:lang w:val="en-US" w:eastAsia="zh-CN"/>
        </w:rPr>
        <w:t>4</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一般公共服务支出（类）组织事务（款）其他组织事务支出（项）</w:t>
      </w:r>
      <w:r>
        <w:rPr>
          <w:rFonts w:hint="default" w:ascii="Times New Roman" w:hAnsi="Times New Roman" w:eastAsia="方正仿宋简体" w:cs="Times New Roman"/>
          <w:b w:val="0"/>
          <w:bCs w:val="0"/>
          <w:color w:val="auto"/>
          <w:sz w:val="32"/>
          <w:szCs w:val="32"/>
        </w:rPr>
        <w:t>年初预算为</w:t>
      </w:r>
      <w:r>
        <w:rPr>
          <w:rFonts w:hint="default" w:ascii="Times New Roman" w:hAnsi="Times New Roman" w:eastAsia="方正仿宋简体" w:cs="Times New Roman"/>
          <w:b w:val="0"/>
          <w:bCs w:val="0"/>
          <w:color w:val="auto"/>
          <w:sz w:val="32"/>
          <w:szCs w:val="32"/>
          <w:lang w:val="en-US" w:eastAsia="zh-CN"/>
        </w:rPr>
        <w:t>6.6</w:t>
      </w:r>
      <w:r>
        <w:rPr>
          <w:rFonts w:hint="default" w:ascii="Times New Roman" w:hAnsi="Times New Roman" w:eastAsia="方正仿宋简体" w:cs="Times New Roman"/>
          <w:b w:val="0"/>
          <w:bCs w:val="0"/>
          <w:color w:val="auto"/>
          <w:sz w:val="32"/>
          <w:szCs w:val="32"/>
        </w:rPr>
        <w:t>万元，支出决算为</w:t>
      </w:r>
      <w:r>
        <w:rPr>
          <w:rFonts w:hint="default" w:ascii="Times New Roman" w:hAnsi="Times New Roman" w:eastAsia="方正仿宋简体" w:cs="Times New Roman"/>
          <w:b w:val="0"/>
          <w:bCs w:val="0"/>
          <w:color w:val="auto"/>
          <w:sz w:val="32"/>
          <w:szCs w:val="32"/>
          <w:lang w:val="en-US" w:eastAsia="zh-CN"/>
        </w:rPr>
        <w:t>6.6</w:t>
      </w:r>
      <w:r>
        <w:rPr>
          <w:rFonts w:hint="default" w:ascii="Times New Roman" w:hAnsi="Times New Roman" w:eastAsia="方正仿宋简体" w:cs="Times New Roman"/>
          <w:b w:val="0"/>
          <w:bCs w:val="0"/>
          <w:color w:val="auto"/>
          <w:sz w:val="32"/>
          <w:szCs w:val="32"/>
        </w:rPr>
        <w:t>万元，完成年初预算的</w:t>
      </w:r>
      <w:r>
        <w:rPr>
          <w:rFonts w:hint="default" w:ascii="Times New Roman" w:hAnsi="Times New Roman" w:eastAsia="方正仿宋简体" w:cs="Times New Roman"/>
          <w:b w:val="0"/>
          <w:bCs w:val="0"/>
          <w:color w:val="auto"/>
          <w:sz w:val="32"/>
          <w:szCs w:val="32"/>
          <w:lang w:val="en-US" w:eastAsia="zh-CN"/>
        </w:rPr>
        <w:t>100</w:t>
      </w:r>
      <w:r>
        <w:rPr>
          <w:rFonts w:hint="default" w:ascii="Times New Roman" w:hAnsi="Times New Roman" w:eastAsia="方正仿宋简体" w:cs="Times New Roman"/>
          <w:b w:val="0"/>
          <w:bCs w:val="0"/>
          <w:color w:val="auto"/>
          <w:sz w:val="32"/>
          <w:szCs w:val="32"/>
        </w:rPr>
        <w:t>%。</w:t>
      </w:r>
    </w:p>
    <w:p w14:paraId="0E110DB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val="0"/>
          <w:color w:val="auto"/>
          <w:sz w:val="32"/>
          <w:szCs w:val="32"/>
          <w:lang w:val="en-US" w:eastAsia="zh-CN"/>
        </w:rPr>
      </w:pPr>
      <w:r>
        <w:rPr>
          <w:rFonts w:hint="default" w:ascii="Times New Roman" w:hAnsi="Times New Roman" w:eastAsia="方正仿宋简体" w:cs="Times New Roman"/>
          <w:b w:val="0"/>
          <w:bCs w:val="0"/>
          <w:color w:val="auto"/>
          <w:sz w:val="32"/>
          <w:szCs w:val="32"/>
        </w:rPr>
        <w:t xml:space="preserve"> </w:t>
      </w:r>
      <w:r>
        <w:rPr>
          <w:rFonts w:hint="default" w:ascii="Times New Roman" w:hAnsi="Times New Roman" w:eastAsia="方正仿宋简体" w:cs="Times New Roman"/>
          <w:b w:val="0"/>
          <w:bCs w:val="0"/>
          <w:color w:val="auto"/>
          <w:sz w:val="32"/>
          <w:szCs w:val="32"/>
          <w:lang w:val="en-US" w:eastAsia="zh-CN"/>
        </w:rPr>
        <w:t>5</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社会保障和就业支出（类）行政事业单位养老支出（款）机关事业单位基本养老保险缴费支出（项）</w:t>
      </w:r>
      <w:r>
        <w:rPr>
          <w:rFonts w:hint="default" w:ascii="Times New Roman" w:hAnsi="Times New Roman" w:eastAsia="方正仿宋简体" w:cs="Times New Roman"/>
          <w:b w:val="0"/>
          <w:bCs w:val="0"/>
          <w:color w:val="auto"/>
          <w:sz w:val="32"/>
          <w:szCs w:val="32"/>
        </w:rPr>
        <w:t>年初预算为</w:t>
      </w:r>
      <w:r>
        <w:rPr>
          <w:rFonts w:hint="default" w:ascii="Times New Roman" w:hAnsi="Times New Roman" w:eastAsia="方正仿宋简体" w:cs="Times New Roman"/>
          <w:b w:val="0"/>
          <w:bCs w:val="0"/>
          <w:color w:val="auto"/>
          <w:sz w:val="32"/>
          <w:szCs w:val="32"/>
          <w:lang w:val="en-US" w:eastAsia="zh-CN"/>
        </w:rPr>
        <w:t>74.34</w:t>
      </w:r>
      <w:r>
        <w:rPr>
          <w:rFonts w:hint="default" w:ascii="Times New Roman" w:hAnsi="Times New Roman" w:eastAsia="方正仿宋简体" w:cs="Times New Roman"/>
          <w:b w:val="0"/>
          <w:bCs w:val="0"/>
          <w:color w:val="auto"/>
          <w:sz w:val="32"/>
          <w:szCs w:val="32"/>
        </w:rPr>
        <w:t>万元，支出决算为</w:t>
      </w:r>
      <w:r>
        <w:rPr>
          <w:rFonts w:hint="default" w:ascii="Times New Roman" w:hAnsi="Times New Roman" w:eastAsia="方正仿宋简体" w:cs="Times New Roman"/>
          <w:b w:val="0"/>
          <w:bCs w:val="0"/>
          <w:color w:val="auto"/>
          <w:sz w:val="32"/>
          <w:szCs w:val="32"/>
          <w:lang w:val="en-US" w:eastAsia="zh-CN"/>
        </w:rPr>
        <w:t>75.44</w:t>
      </w:r>
      <w:r>
        <w:rPr>
          <w:rFonts w:hint="default" w:ascii="Times New Roman" w:hAnsi="Times New Roman" w:eastAsia="方正仿宋简体" w:cs="Times New Roman"/>
          <w:b w:val="0"/>
          <w:bCs w:val="0"/>
          <w:color w:val="auto"/>
          <w:sz w:val="32"/>
          <w:szCs w:val="32"/>
        </w:rPr>
        <w:t>万元，完成年初预算的</w:t>
      </w:r>
      <w:r>
        <w:rPr>
          <w:rFonts w:hint="default" w:ascii="Times New Roman" w:hAnsi="Times New Roman" w:eastAsia="方正仿宋简体" w:cs="Times New Roman"/>
          <w:b w:val="0"/>
          <w:bCs w:val="0"/>
          <w:color w:val="auto"/>
          <w:sz w:val="32"/>
          <w:szCs w:val="32"/>
          <w:lang w:val="en-US" w:eastAsia="zh-CN"/>
        </w:rPr>
        <w:t>101.48</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决算支出大于年初预算，主要原因是单位安排新招录公务员，人员经费相应增加。</w:t>
      </w:r>
    </w:p>
    <w:p w14:paraId="41F78EDD">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val="0"/>
          <w:color w:val="auto"/>
          <w:sz w:val="32"/>
          <w:szCs w:val="32"/>
          <w:lang w:val="en-US" w:eastAsia="zh-CN"/>
        </w:rPr>
      </w:pPr>
      <w:r>
        <w:rPr>
          <w:rFonts w:hint="default" w:ascii="Times New Roman" w:hAnsi="Times New Roman" w:eastAsia="方正仿宋简体" w:cs="Times New Roman"/>
          <w:b w:val="0"/>
          <w:bCs w:val="0"/>
          <w:color w:val="auto"/>
          <w:sz w:val="32"/>
          <w:szCs w:val="32"/>
        </w:rPr>
        <w:t xml:space="preserve"> </w:t>
      </w:r>
      <w:r>
        <w:rPr>
          <w:rFonts w:hint="default" w:ascii="Times New Roman" w:hAnsi="Times New Roman" w:eastAsia="方正仿宋简体" w:cs="Times New Roman"/>
          <w:b w:val="0"/>
          <w:bCs w:val="0"/>
          <w:color w:val="auto"/>
          <w:sz w:val="32"/>
          <w:szCs w:val="32"/>
          <w:lang w:val="en-US" w:eastAsia="zh-CN"/>
        </w:rPr>
        <w:t>6</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社会保障和就业支出（类）财政对其他社会保险基金的补助（款）财政对失业保险基金的补助（项）财政对工伤保险基金的补助（项）</w:t>
      </w:r>
      <w:r>
        <w:rPr>
          <w:rFonts w:hint="default" w:ascii="Times New Roman" w:hAnsi="Times New Roman" w:eastAsia="方正仿宋简体" w:cs="Times New Roman"/>
          <w:b w:val="0"/>
          <w:bCs w:val="0"/>
          <w:color w:val="auto"/>
          <w:sz w:val="32"/>
          <w:szCs w:val="32"/>
        </w:rPr>
        <w:t>年初预算</w:t>
      </w:r>
      <w:r>
        <w:rPr>
          <w:rFonts w:hint="default" w:ascii="Times New Roman" w:hAnsi="Times New Roman" w:eastAsia="方正仿宋简体" w:cs="Times New Roman"/>
          <w:b w:val="0"/>
          <w:bCs w:val="0"/>
          <w:color w:val="auto"/>
          <w:sz w:val="32"/>
          <w:szCs w:val="32"/>
          <w:lang w:val="en-US" w:eastAsia="zh-CN"/>
        </w:rPr>
        <w:t>分别</w:t>
      </w:r>
      <w:r>
        <w:rPr>
          <w:rFonts w:hint="default" w:ascii="Times New Roman" w:hAnsi="Times New Roman" w:eastAsia="方正仿宋简体" w:cs="Times New Roman"/>
          <w:b w:val="0"/>
          <w:bCs w:val="0"/>
          <w:color w:val="auto"/>
          <w:sz w:val="32"/>
          <w:szCs w:val="32"/>
        </w:rPr>
        <w:t>为</w:t>
      </w:r>
      <w:r>
        <w:rPr>
          <w:rFonts w:hint="default" w:ascii="Times New Roman" w:hAnsi="Times New Roman" w:eastAsia="方正仿宋简体" w:cs="Times New Roman"/>
          <w:b w:val="0"/>
          <w:bCs w:val="0"/>
          <w:color w:val="auto"/>
          <w:sz w:val="32"/>
          <w:szCs w:val="32"/>
          <w:lang w:val="en-US" w:eastAsia="zh-CN"/>
        </w:rPr>
        <w:t>1.14</w:t>
      </w:r>
      <w:r>
        <w:rPr>
          <w:rFonts w:hint="default" w:ascii="Times New Roman" w:hAnsi="Times New Roman" w:eastAsia="方正仿宋简体" w:cs="Times New Roman"/>
          <w:b w:val="0"/>
          <w:bCs w:val="0"/>
          <w:color w:val="auto"/>
          <w:sz w:val="32"/>
          <w:szCs w:val="32"/>
        </w:rPr>
        <w:t>万元</w:t>
      </w:r>
      <w:r>
        <w:rPr>
          <w:rFonts w:hint="default" w:ascii="Times New Roman" w:hAnsi="Times New Roman" w:eastAsia="方正仿宋简体" w:cs="Times New Roman"/>
          <w:b w:val="0"/>
          <w:bCs w:val="0"/>
          <w:color w:val="auto"/>
          <w:sz w:val="32"/>
          <w:szCs w:val="32"/>
          <w:lang w:val="en-US" w:eastAsia="zh-CN"/>
        </w:rPr>
        <w:t>和0.46万元，</w:t>
      </w:r>
      <w:r>
        <w:rPr>
          <w:rFonts w:hint="default" w:ascii="Times New Roman" w:hAnsi="Times New Roman" w:eastAsia="方正仿宋简体" w:cs="Times New Roman"/>
          <w:b w:val="0"/>
          <w:bCs w:val="0"/>
          <w:color w:val="auto"/>
          <w:sz w:val="32"/>
          <w:szCs w:val="32"/>
        </w:rPr>
        <w:t>支出决算</w:t>
      </w:r>
      <w:r>
        <w:rPr>
          <w:rFonts w:hint="default" w:ascii="Times New Roman" w:hAnsi="Times New Roman" w:eastAsia="方正仿宋简体" w:cs="Times New Roman"/>
          <w:b w:val="0"/>
          <w:bCs w:val="0"/>
          <w:color w:val="auto"/>
          <w:sz w:val="32"/>
          <w:szCs w:val="32"/>
          <w:lang w:val="en-US" w:eastAsia="zh-CN"/>
        </w:rPr>
        <w:t>分别</w:t>
      </w:r>
      <w:r>
        <w:rPr>
          <w:rFonts w:hint="default" w:ascii="Times New Roman" w:hAnsi="Times New Roman" w:eastAsia="方正仿宋简体" w:cs="Times New Roman"/>
          <w:b w:val="0"/>
          <w:bCs w:val="0"/>
          <w:color w:val="auto"/>
          <w:sz w:val="32"/>
          <w:szCs w:val="32"/>
        </w:rPr>
        <w:t>为</w:t>
      </w:r>
      <w:r>
        <w:rPr>
          <w:rFonts w:hint="default" w:ascii="Times New Roman" w:hAnsi="Times New Roman" w:eastAsia="方正仿宋简体" w:cs="Times New Roman"/>
          <w:b w:val="0"/>
          <w:bCs w:val="0"/>
          <w:color w:val="auto"/>
          <w:sz w:val="32"/>
          <w:szCs w:val="32"/>
          <w:lang w:val="en-US" w:eastAsia="zh-CN"/>
        </w:rPr>
        <w:t>1.51</w:t>
      </w:r>
      <w:r>
        <w:rPr>
          <w:rFonts w:hint="default" w:ascii="Times New Roman" w:hAnsi="Times New Roman" w:eastAsia="方正仿宋简体" w:cs="Times New Roman"/>
          <w:b w:val="0"/>
          <w:bCs w:val="0"/>
          <w:color w:val="auto"/>
          <w:sz w:val="32"/>
          <w:szCs w:val="32"/>
        </w:rPr>
        <w:t>万元</w:t>
      </w:r>
      <w:r>
        <w:rPr>
          <w:rFonts w:hint="default" w:ascii="Times New Roman" w:hAnsi="Times New Roman" w:eastAsia="方正仿宋简体" w:cs="Times New Roman"/>
          <w:b w:val="0"/>
          <w:bCs w:val="0"/>
          <w:color w:val="auto"/>
          <w:sz w:val="32"/>
          <w:szCs w:val="32"/>
          <w:lang w:val="en-US" w:eastAsia="zh-CN"/>
        </w:rPr>
        <w:t>和0.47万元</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分别</w:t>
      </w:r>
      <w:r>
        <w:rPr>
          <w:rFonts w:hint="default" w:ascii="Times New Roman" w:hAnsi="Times New Roman" w:eastAsia="方正仿宋简体" w:cs="Times New Roman"/>
          <w:b w:val="0"/>
          <w:bCs w:val="0"/>
          <w:color w:val="auto"/>
          <w:sz w:val="32"/>
          <w:szCs w:val="32"/>
        </w:rPr>
        <w:t>完成年初预算的</w:t>
      </w:r>
      <w:r>
        <w:rPr>
          <w:rFonts w:hint="default" w:ascii="Times New Roman" w:hAnsi="Times New Roman" w:eastAsia="方正仿宋简体" w:cs="Times New Roman"/>
          <w:b w:val="0"/>
          <w:bCs w:val="0"/>
          <w:color w:val="auto"/>
          <w:sz w:val="32"/>
          <w:szCs w:val="32"/>
          <w:lang w:val="en-US" w:eastAsia="zh-CN"/>
        </w:rPr>
        <w:t>132.46</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和102.17%</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决算支出大于年初预算，主要原因是公益性岗位待遇标准提升，相应社保缴费支出增加。</w:t>
      </w:r>
    </w:p>
    <w:p w14:paraId="312617E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val="0"/>
          <w:color w:val="auto"/>
          <w:sz w:val="32"/>
          <w:szCs w:val="32"/>
          <w:lang w:val="en-US" w:eastAsia="zh-CN"/>
        </w:rPr>
      </w:pPr>
      <w:r>
        <w:rPr>
          <w:rFonts w:hint="default" w:ascii="Times New Roman" w:hAnsi="Times New Roman" w:eastAsia="方正仿宋简体" w:cs="Times New Roman"/>
          <w:b w:val="0"/>
          <w:bCs w:val="0"/>
          <w:color w:val="auto"/>
          <w:sz w:val="32"/>
          <w:szCs w:val="32"/>
        </w:rPr>
        <w:t xml:space="preserve"> </w:t>
      </w:r>
      <w:r>
        <w:rPr>
          <w:rFonts w:hint="default" w:ascii="Times New Roman" w:hAnsi="Times New Roman" w:eastAsia="方正仿宋简体" w:cs="Times New Roman"/>
          <w:b w:val="0"/>
          <w:bCs w:val="0"/>
          <w:color w:val="auto"/>
          <w:sz w:val="32"/>
          <w:szCs w:val="32"/>
          <w:lang w:val="en-US" w:eastAsia="zh-CN"/>
        </w:rPr>
        <w:t>7</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卫生健康支出（类）行政事业单位医疗（款）行政单位医疗（项）公务员医疗补助（项）其他行政单位医疗支出（项）</w:t>
      </w:r>
      <w:r>
        <w:rPr>
          <w:rFonts w:hint="default" w:ascii="Times New Roman" w:hAnsi="Times New Roman" w:eastAsia="方正仿宋简体" w:cs="Times New Roman"/>
          <w:b w:val="0"/>
          <w:bCs w:val="0"/>
          <w:color w:val="auto"/>
          <w:sz w:val="32"/>
          <w:szCs w:val="32"/>
        </w:rPr>
        <w:t>年初预算为</w:t>
      </w:r>
      <w:r>
        <w:rPr>
          <w:rFonts w:hint="default" w:ascii="Times New Roman" w:hAnsi="Times New Roman" w:eastAsia="方正仿宋简体" w:cs="Times New Roman"/>
          <w:b w:val="0"/>
          <w:bCs w:val="0"/>
          <w:color w:val="auto"/>
          <w:sz w:val="32"/>
          <w:szCs w:val="32"/>
          <w:lang w:val="en-US" w:eastAsia="zh-CN"/>
        </w:rPr>
        <w:t>40.42</w:t>
      </w:r>
      <w:r>
        <w:rPr>
          <w:rFonts w:hint="default" w:ascii="Times New Roman" w:hAnsi="Times New Roman" w:eastAsia="方正仿宋简体" w:cs="Times New Roman"/>
          <w:b w:val="0"/>
          <w:bCs w:val="0"/>
          <w:color w:val="auto"/>
          <w:sz w:val="32"/>
          <w:szCs w:val="32"/>
        </w:rPr>
        <w:t>万元</w:t>
      </w:r>
      <w:r>
        <w:rPr>
          <w:rFonts w:hint="default" w:ascii="Times New Roman" w:hAnsi="Times New Roman" w:eastAsia="方正仿宋简体" w:cs="Times New Roman"/>
          <w:b w:val="0"/>
          <w:bCs w:val="0"/>
          <w:color w:val="auto"/>
          <w:sz w:val="32"/>
          <w:szCs w:val="32"/>
          <w:lang w:eastAsia="zh-CN"/>
        </w:rPr>
        <w:t>，</w:t>
      </w:r>
      <w:r>
        <w:rPr>
          <w:rFonts w:hint="default" w:ascii="Times New Roman" w:hAnsi="Times New Roman" w:eastAsia="方正仿宋简体" w:cs="Times New Roman"/>
          <w:b w:val="0"/>
          <w:bCs w:val="0"/>
          <w:color w:val="auto"/>
          <w:sz w:val="32"/>
          <w:szCs w:val="32"/>
        </w:rPr>
        <w:t>支出决算为</w:t>
      </w:r>
      <w:r>
        <w:rPr>
          <w:rFonts w:hint="default" w:ascii="Times New Roman" w:hAnsi="Times New Roman" w:eastAsia="方正仿宋简体" w:cs="Times New Roman"/>
          <w:b w:val="0"/>
          <w:bCs w:val="0"/>
          <w:color w:val="auto"/>
          <w:sz w:val="32"/>
          <w:szCs w:val="32"/>
          <w:lang w:val="en-US" w:eastAsia="zh-CN"/>
        </w:rPr>
        <w:t>35.16</w:t>
      </w:r>
      <w:r>
        <w:rPr>
          <w:rFonts w:hint="default" w:ascii="Times New Roman" w:hAnsi="Times New Roman" w:eastAsia="方正仿宋简体" w:cs="Times New Roman"/>
          <w:b w:val="0"/>
          <w:bCs w:val="0"/>
          <w:color w:val="auto"/>
          <w:sz w:val="32"/>
          <w:szCs w:val="32"/>
        </w:rPr>
        <w:t>万元</w:t>
      </w:r>
      <w:r>
        <w:rPr>
          <w:rFonts w:hint="default" w:ascii="Times New Roman" w:hAnsi="Times New Roman" w:eastAsia="方正仿宋简体" w:cs="Times New Roman"/>
          <w:b w:val="0"/>
          <w:bCs w:val="0"/>
          <w:color w:val="auto"/>
          <w:sz w:val="32"/>
          <w:szCs w:val="32"/>
          <w:lang w:eastAsia="zh-CN"/>
        </w:rPr>
        <w:t>，</w:t>
      </w:r>
      <w:r>
        <w:rPr>
          <w:rFonts w:hint="default" w:ascii="Times New Roman" w:hAnsi="Times New Roman" w:eastAsia="方正仿宋简体" w:cs="Times New Roman"/>
          <w:b w:val="0"/>
          <w:bCs w:val="0"/>
          <w:color w:val="auto"/>
          <w:sz w:val="32"/>
          <w:szCs w:val="32"/>
          <w:lang w:val="en-US" w:eastAsia="zh-CN"/>
        </w:rPr>
        <w:t>完成年初预算86.99%，支出决算小于年初预算，主要原因是年初预算估算过高；年初预算为6.63万元，支出决算为6万元，完成年初预算为90.50%，支出决算小于年初预算，主要原因是年初预算估算过高；年初预算为4.14万元，支出决算为7.26万元</w:t>
      </w:r>
      <w:r>
        <w:rPr>
          <w:rFonts w:hint="default" w:ascii="Times New Roman" w:hAnsi="Times New Roman" w:eastAsia="方正仿宋简体" w:cs="Times New Roman"/>
          <w:b w:val="0"/>
          <w:bCs w:val="0"/>
          <w:color w:val="auto"/>
          <w:sz w:val="32"/>
          <w:szCs w:val="32"/>
        </w:rPr>
        <w:t>，完成年初预算的</w:t>
      </w:r>
      <w:r>
        <w:rPr>
          <w:rFonts w:hint="default" w:ascii="Times New Roman" w:hAnsi="Times New Roman" w:eastAsia="方正仿宋简体" w:cs="Times New Roman"/>
          <w:b w:val="0"/>
          <w:bCs w:val="0"/>
          <w:color w:val="auto"/>
          <w:sz w:val="32"/>
          <w:szCs w:val="32"/>
          <w:lang w:val="en-US" w:eastAsia="zh-CN"/>
        </w:rPr>
        <w:t>175.36%，支出决算大于年初预算，主要原因是公益性岗位待遇标准提升，相应社保缴费支出增加。</w:t>
      </w:r>
    </w:p>
    <w:p w14:paraId="690C020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val="0"/>
          <w:color w:val="auto"/>
          <w:sz w:val="32"/>
          <w:szCs w:val="32"/>
          <w:lang w:val="en-US" w:eastAsia="zh-CN"/>
        </w:rPr>
      </w:pPr>
      <w:r>
        <w:rPr>
          <w:rFonts w:hint="default" w:ascii="Times New Roman" w:hAnsi="Times New Roman" w:eastAsia="方正仿宋简体" w:cs="Times New Roman"/>
          <w:b w:val="0"/>
          <w:bCs w:val="0"/>
          <w:color w:val="auto"/>
          <w:sz w:val="32"/>
          <w:szCs w:val="32"/>
        </w:rPr>
        <w:t xml:space="preserve"> </w:t>
      </w:r>
      <w:r>
        <w:rPr>
          <w:rFonts w:hint="default" w:ascii="Times New Roman" w:hAnsi="Times New Roman" w:eastAsia="方正仿宋简体" w:cs="Times New Roman"/>
          <w:b w:val="0"/>
          <w:bCs w:val="0"/>
          <w:color w:val="auto"/>
          <w:sz w:val="32"/>
          <w:szCs w:val="32"/>
          <w:lang w:val="en-US" w:eastAsia="zh-CN"/>
        </w:rPr>
        <w:t>8</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住房保障支出（类）住房改革支出（款）住房公积金（项）</w:t>
      </w:r>
      <w:r>
        <w:rPr>
          <w:rFonts w:hint="default" w:ascii="Times New Roman" w:hAnsi="Times New Roman" w:eastAsia="方正仿宋简体" w:cs="Times New Roman"/>
          <w:b w:val="0"/>
          <w:bCs w:val="0"/>
          <w:color w:val="auto"/>
          <w:sz w:val="32"/>
          <w:szCs w:val="32"/>
        </w:rPr>
        <w:t>年初预算为</w:t>
      </w:r>
      <w:r>
        <w:rPr>
          <w:rFonts w:hint="default" w:ascii="Times New Roman" w:hAnsi="Times New Roman" w:eastAsia="方正仿宋简体" w:cs="Times New Roman"/>
          <w:b w:val="0"/>
          <w:bCs w:val="0"/>
          <w:color w:val="auto"/>
          <w:sz w:val="32"/>
          <w:szCs w:val="32"/>
          <w:lang w:val="en-US" w:eastAsia="zh-CN"/>
        </w:rPr>
        <w:t>55.76</w:t>
      </w:r>
      <w:r>
        <w:rPr>
          <w:rFonts w:hint="default" w:ascii="Times New Roman" w:hAnsi="Times New Roman" w:eastAsia="方正仿宋简体" w:cs="Times New Roman"/>
          <w:b w:val="0"/>
          <w:bCs w:val="0"/>
          <w:color w:val="auto"/>
          <w:sz w:val="32"/>
          <w:szCs w:val="32"/>
        </w:rPr>
        <w:t>万元</w:t>
      </w:r>
      <w:r>
        <w:rPr>
          <w:rFonts w:hint="default" w:ascii="Times New Roman" w:hAnsi="Times New Roman" w:eastAsia="方正仿宋简体" w:cs="Times New Roman"/>
          <w:b w:val="0"/>
          <w:bCs w:val="0"/>
          <w:color w:val="auto"/>
          <w:sz w:val="32"/>
          <w:szCs w:val="32"/>
          <w:lang w:eastAsia="zh-CN"/>
        </w:rPr>
        <w:t>，</w:t>
      </w:r>
      <w:r>
        <w:rPr>
          <w:rFonts w:hint="default" w:ascii="Times New Roman" w:hAnsi="Times New Roman" w:eastAsia="方正仿宋简体" w:cs="Times New Roman"/>
          <w:b w:val="0"/>
          <w:bCs w:val="0"/>
          <w:color w:val="auto"/>
          <w:sz w:val="32"/>
          <w:szCs w:val="32"/>
        </w:rPr>
        <w:t>支出决算为</w:t>
      </w:r>
      <w:r>
        <w:rPr>
          <w:rFonts w:hint="default" w:ascii="Times New Roman" w:hAnsi="Times New Roman" w:eastAsia="方正仿宋简体" w:cs="Times New Roman"/>
          <w:b w:val="0"/>
          <w:bCs w:val="0"/>
          <w:color w:val="auto"/>
          <w:sz w:val="32"/>
          <w:szCs w:val="32"/>
          <w:lang w:val="en-US" w:eastAsia="zh-CN"/>
        </w:rPr>
        <w:t>55.76</w:t>
      </w:r>
      <w:r>
        <w:rPr>
          <w:rFonts w:hint="default" w:ascii="Times New Roman" w:hAnsi="Times New Roman" w:eastAsia="方正仿宋简体" w:cs="Times New Roman"/>
          <w:b w:val="0"/>
          <w:bCs w:val="0"/>
          <w:color w:val="auto"/>
          <w:sz w:val="32"/>
          <w:szCs w:val="32"/>
        </w:rPr>
        <w:t>万元</w:t>
      </w:r>
      <w:r>
        <w:rPr>
          <w:rFonts w:hint="default" w:ascii="Times New Roman" w:hAnsi="Times New Roman" w:eastAsia="方正仿宋简体" w:cs="Times New Roman"/>
          <w:b w:val="0"/>
          <w:bCs w:val="0"/>
          <w:color w:val="auto"/>
          <w:sz w:val="32"/>
          <w:szCs w:val="32"/>
          <w:lang w:eastAsia="zh-CN"/>
        </w:rPr>
        <w:t>，</w:t>
      </w:r>
      <w:r>
        <w:rPr>
          <w:rFonts w:hint="default" w:ascii="Times New Roman" w:hAnsi="Times New Roman" w:eastAsia="方正仿宋简体" w:cs="Times New Roman"/>
          <w:b w:val="0"/>
          <w:bCs w:val="0"/>
          <w:color w:val="auto"/>
          <w:sz w:val="32"/>
          <w:szCs w:val="32"/>
          <w:lang w:val="en-US" w:eastAsia="zh-CN"/>
        </w:rPr>
        <w:t>完成年初预算100%。</w:t>
      </w:r>
    </w:p>
    <w:p w14:paraId="3A3A312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val="0"/>
          <w:color w:val="auto"/>
          <w:sz w:val="32"/>
          <w:szCs w:val="32"/>
          <w:lang w:val="en-US" w:eastAsia="zh-CN"/>
        </w:rPr>
      </w:pPr>
      <w:r>
        <w:rPr>
          <w:rFonts w:hint="default" w:ascii="Times New Roman" w:hAnsi="Times New Roman" w:eastAsia="方正仿宋简体" w:cs="Times New Roman"/>
          <w:b w:val="0"/>
          <w:bCs w:val="0"/>
          <w:color w:val="auto"/>
          <w:sz w:val="32"/>
          <w:szCs w:val="32"/>
        </w:rPr>
        <w:t xml:space="preserve"> </w:t>
      </w:r>
      <w:r>
        <w:rPr>
          <w:rFonts w:hint="default" w:ascii="Times New Roman" w:hAnsi="Times New Roman" w:eastAsia="方正仿宋简体" w:cs="Times New Roman"/>
          <w:b w:val="0"/>
          <w:bCs w:val="0"/>
          <w:color w:val="auto"/>
          <w:sz w:val="32"/>
          <w:szCs w:val="32"/>
          <w:lang w:val="en-US" w:eastAsia="zh-CN"/>
        </w:rPr>
        <w:t>9</w:t>
      </w:r>
      <w:r>
        <w:rPr>
          <w:rFonts w:hint="default" w:ascii="Times New Roman" w:hAnsi="Times New Roman" w:eastAsia="方正仿宋简体" w:cs="Times New Roman"/>
          <w:b w:val="0"/>
          <w:bCs w:val="0"/>
          <w:color w:val="auto"/>
          <w:sz w:val="32"/>
          <w:szCs w:val="32"/>
        </w:rPr>
        <w:t>.</w:t>
      </w:r>
      <w:r>
        <w:rPr>
          <w:rFonts w:hint="default" w:ascii="Times New Roman" w:hAnsi="Times New Roman" w:eastAsia="方正仿宋简体" w:cs="Times New Roman"/>
          <w:b w:val="0"/>
          <w:bCs w:val="0"/>
          <w:color w:val="auto"/>
          <w:sz w:val="32"/>
          <w:szCs w:val="32"/>
          <w:lang w:val="en-US" w:eastAsia="zh-CN"/>
        </w:rPr>
        <w:t>资源勘探工业信息等支出（类）制造业（款）通信设备、计算机及其他电子设备制造业（项）年初预算未安排，决算支出283万元，主要原因是中央直达资金，用于安可国产替代芯片“国货国用”项目，因此形成决算支出增加。</w:t>
      </w:r>
    </w:p>
    <w:p w14:paraId="6EAB98CA">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方正黑体简体" w:hAnsi="方正黑体简体" w:eastAsia="方正黑体简体" w:cs="方正黑体简体"/>
          <w:b w:val="0"/>
          <w:bCs/>
          <w:color w:val="auto"/>
          <w:sz w:val="32"/>
          <w:szCs w:val="32"/>
        </w:rPr>
      </w:pPr>
      <w:r>
        <w:rPr>
          <w:rFonts w:hint="eastAsia" w:ascii="方正黑体简体" w:hAnsi="方正黑体简体" w:eastAsia="方正黑体简体" w:cs="方正黑体简体"/>
          <w:b w:val="0"/>
          <w:bCs/>
          <w:color w:val="auto"/>
          <w:sz w:val="32"/>
          <w:szCs w:val="32"/>
        </w:rPr>
        <w:t>六、一般公共预算财政拨款基本支出决算情况说明</w:t>
      </w:r>
    </w:p>
    <w:p w14:paraId="6C24DF02">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年度财政拨款基本支出</w:t>
      </w:r>
      <w:r>
        <w:rPr>
          <w:rFonts w:hint="default" w:ascii="Times New Roman" w:hAnsi="Times New Roman" w:eastAsia="方正仿宋简体" w:cs="Times New Roman"/>
          <w:color w:val="auto"/>
          <w:sz w:val="32"/>
          <w:szCs w:val="32"/>
          <w:lang w:val="en-US" w:eastAsia="zh-CN"/>
        </w:rPr>
        <w:t>918.62</w:t>
      </w:r>
      <w:r>
        <w:rPr>
          <w:rFonts w:hint="default" w:ascii="Times New Roman" w:hAnsi="Times New Roman" w:eastAsia="方正仿宋简体" w:cs="Times New Roman"/>
          <w:color w:val="auto"/>
          <w:sz w:val="32"/>
          <w:szCs w:val="32"/>
        </w:rPr>
        <w:t>万元，其中：人员经费</w:t>
      </w:r>
      <w:r>
        <w:rPr>
          <w:rFonts w:hint="default" w:ascii="Times New Roman" w:hAnsi="Times New Roman" w:eastAsia="方正仿宋简体" w:cs="Times New Roman"/>
          <w:color w:val="auto"/>
          <w:sz w:val="32"/>
          <w:szCs w:val="32"/>
          <w:lang w:val="en-US"/>
        </w:rPr>
        <w:t>834.77</w:t>
      </w:r>
      <w:r>
        <w:rPr>
          <w:rFonts w:hint="default" w:ascii="Times New Roman" w:hAnsi="Times New Roman" w:eastAsia="方正仿宋简体" w:cs="Times New Roman"/>
          <w:color w:val="auto"/>
          <w:sz w:val="32"/>
          <w:szCs w:val="32"/>
        </w:rPr>
        <w:t>万元，主要包括：工资福利支出中的基本工资、津贴补贴、奖金、机关事业单位基本养老保险缴费、职工基本医疗保险缴费、公务员医疗补助缴费、其他社会保障缴费、住房公积金、医疗费、其他工资福利支出。公用经费</w:t>
      </w:r>
      <w:r>
        <w:rPr>
          <w:rFonts w:hint="default" w:ascii="Times New Roman" w:hAnsi="Times New Roman" w:eastAsia="方正仿宋简体" w:cs="Times New Roman"/>
          <w:color w:val="auto"/>
          <w:sz w:val="32"/>
          <w:szCs w:val="32"/>
          <w:lang w:val="en-US"/>
        </w:rPr>
        <w:t>83.85</w:t>
      </w:r>
      <w:r>
        <w:rPr>
          <w:rFonts w:hint="default" w:ascii="Times New Roman" w:hAnsi="Times New Roman" w:eastAsia="方正仿宋简体" w:cs="Times New Roman"/>
          <w:color w:val="auto"/>
          <w:sz w:val="32"/>
          <w:szCs w:val="32"/>
        </w:rPr>
        <w:t>万元，主要包括：商品和服务支出中的办公费、印刷费、差旅费、维修（护）费、劳务费、委托业务费、工会经费、公务用车运行维护费其他商品和服务支出</w:t>
      </w:r>
      <w:r>
        <w:rPr>
          <w:rFonts w:hint="default" w:ascii="Times New Roman" w:hAnsi="Times New Roman" w:eastAsia="方正仿宋简体" w:cs="Times New Roman"/>
          <w:color w:val="auto"/>
          <w:sz w:val="32"/>
          <w:szCs w:val="32"/>
          <w:lang w:eastAsia="zh-CN"/>
        </w:rPr>
        <w:t>。</w:t>
      </w:r>
    </w:p>
    <w:p w14:paraId="7241B08A">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方正黑体简体" w:hAnsi="方正黑体简体" w:eastAsia="方正黑体简体" w:cs="方正黑体简体"/>
          <w:b w:val="0"/>
          <w:bCs/>
          <w:color w:val="auto"/>
          <w:sz w:val="32"/>
          <w:szCs w:val="32"/>
        </w:rPr>
      </w:pPr>
      <w:r>
        <w:rPr>
          <w:rFonts w:hint="eastAsia" w:ascii="方正黑体简体" w:hAnsi="方正黑体简体" w:eastAsia="方正黑体简体" w:cs="方正黑体简体"/>
          <w:b w:val="0"/>
          <w:bCs/>
          <w:color w:val="auto"/>
          <w:sz w:val="32"/>
          <w:szCs w:val="32"/>
        </w:rPr>
        <w:t>七、政府性基金预算财政拨款支出决算情况说明</w:t>
      </w:r>
    </w:p>
    <w:p w14:paraId="643B855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rPr>
      </w:pPr>
      <w:r>
        <w:rPr>
          <w:rFonts w:hint="eastAsia" w:ascii="方正楷体简体" w:hAnsi="方正楷体简体" w:eastAsia="方正楷体简体" w:cs="方正楷体简体"/>
          <w:color w:val="auto"/>
          <w:sz w:val="32"/>
          <w:szCs w:val="32"/>
        </w:rPr>
        <w:t>（一）政府性基金预算财政拨款支出决算总体情况</w:t>
      </w:r>
    </w:p>
    <w:p w14:paraId="0E502A0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年度政府性基金预算财政拨款支出</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w:t>
      </w:r>
    </w:p>
    <w:p w14:paraId="06BD91A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rPr>
      </w:pPr>
      <w:r>
        <w:rPr>
          <w:rFonts w:hint="eastAsia" w:ascii="方正楷体简体" w:hAnsi="方正楷体简体" w:eastAsia="方正楷体简体" w:cs="方正楷体简体"/>
          <w:color w:val="auto"/>
          <w:sz w:val="32"/>
          <w:szCs w:val="32"/>
        </w:rPr>
        <w:t>（二）政府性基金预算财政拨款支出决算结构情况</w:t>
      </w:r>
    </w:p>
    <w:p w14:paraId="5BAB193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年度政府性基金预算财政拨款支出</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万元</w:t>
      </w:r>
      <w:r>
        <w:rPr>
          <w:rFonts w:hint="default" w:ascii="Times New Roman" w:hAnsi="Times New Roman" w:eastAsia="方正仿宋简体" w:cs="Times New Roman"/>
          <w:color w:val="auto"/>
          <w:sz w:val="32"/>
          <w:szCs w:val="32"/>
          <w:lang w:eastAsia="zh-CN"/>
        </w:rPr>
        <w:t>。</w:t>
      </w:r>
    </w:p>
    <w:p w14:paraId="2AA5798C">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rPr>
      </w:pPr>
      <w:r>
        <w:rPr>
          <w:rFonts w:hint="eastAsia" w:ascii="方正楷体简体" w:hAnsi="方正楷体简体" w:eastAsia="方正楷体简体" w:cs="方正楷体简体"/>
          <w:color w:val="auto"/>
          <w:sz w:val="32"/>
          <w:szCs w:val="32"/>
        </w:rPr>
        <w:t>（三）政府性基金预算财政拨款支出决算具体情况</w:t>
      </w:r>
    </w:p>
    <w:p w14:paraId="5E2A6D6E">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年度政府性基金预算财政拨款支出年初预算为</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万元</w:t>
      </w:r>
      <w:r>
        <w:rPr>
          <w:rFonts w:hint="default" w:ascii="Times New Roman" w:hAnsi="Times New Roman" w:eastAsia="方正仿宋简体" w:cs="Times New Roman"/>
          <w:color w:val="auto"/>
          <w:sz w:val="32"/>
          <w:szCs w:val="32"/>
          <w:lang w:eastAsia="zh-CN"/>
        </w:rPr>
        <w:t>。</w:t>
      </w:r>
    </w:p>
    <w:p w14:paraId="101E92BC">
      <w:pPr>
        <w:keepNext w:val="0"/>
        <w:keepLines w:val="0"/>
        <w:pageBreakBefore w:val="0"/>
        <w:widowControl w:val="0"/>
        <w:tabs>
          <w:tab w:val="center" w:pos="4473"/>
        </w:tabs>
        <w:kinsoku/>
        <w:wordWrap/>
        <w:overflowPunct/>
        <w:topLinePunct w:val="0"/>
        <w:autoSpaceDE/>
        <w:autoSpaceDN/>
        <w:bidi w:val="0"/>
        <w:adjustRightInd/>
        <w:snapToGrid/>
        <w:spacing w:line="578" w:lineRule="exact"/>
        <w:ind w:firstLine="627" w:firstLineChars="196"/>
        <w:textAlignment w:val="auto"/>
        <w:rPr>
          <w:rFonts w:hint="eastAsia" w:ascii="方正黑体简体" w:hAnsi="方正黑体简体" w:eastAsia="方正黑体简体" w:cs="方正黑体简体"/>
          <w:b w:val="0"/>
          <w:bCs/>
          <w:color w:val="auto"/>
          <w:sz w:val="32"/>
          <w:szCs w:val="32"/>
        </w:rPr>
      </w:pPr>
      <w:r>
        <w:rPr>
          <w:rFonts w:hint="eastAsia" w:ascii="方正黑体简体" w:hAnsi="方正黑体简体" w:eastAsia="方正黑体简体" w:cs="方正黑体简体"/>
          <w:b w:val="0"/>
          <w:bCs/>
          <w:color w:val="auto"/>
          <w:sz w:val="32"/>
          <w:szCs w:val="32"/>
        </w:rPr>
        <w:t>八、国有资本经营预算财政拨款支出决算情况说明</w:t>
      </w:r>
    </w:p>
    <w:p w14:paraId="1600908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rPr>
      </w:pPr>
      <w:r>
        <w:rPr>
          <w:rFonts w:hint="eastAsia" w:ascii="方正楷体简体" w:hAnsi="方正楷体简体" w:eastAsia="方正楷体简体" w:cs="方正楷体简体"/>
          <w:color w:val="auto"/>
          <w:sz w:val="32"/>
          <w:szCs w:val="32"/>
        </w:rPr>
        <w:t>（一）国有资本经营预算财政拨款支出决算总体情况</w:t>
      </w:r>
    </w:p>
    <w:p w14:paraId="5E6A223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rPr>
        <w:t>2025</w:t>
      </w:r>
      <w:r>
        <w:rPr>
          <w:rFonts w:hint="default" w:ascii="Times New Roman" w:hAnsi="Times New Roman" w:eastAsia="仿宋_GB2312" w:cs="Times New Roman"/>
          <w:color w:val="auto"/>
          <w:sz w:val="32"/>
          <w:szCs w:val="32"/>
        </w:rPr>
        <w:t>年度国有资本经营预算财政拨款支出</w:t>
      </w:r>
      <w:r>
        <w:rPr>
          <w:rFonts w:hint="default" w:ascii="Times New Roman" w:hAnsi="Times New Roman" w:eastAsia="仿宋_GB2312" w:cs="Times New Roman"/>
          <w:color w:val="auto"/>
          <w:sz w:val="32"/>
          <w:szCs w:val="32"/>
          <w:lang w:val="en-US"/>
        </w:rPr>
        <w:t>0</w:t>
      </w:r>
      <w:r>
        <w:rPr>
          <w:rFonts w:hint="default" w:ascii="Times New Roman" w:hAnsi="Times New Roman" w:eastAsia="仿宋_GB2312" w:cs="Times New Roman"/>
          <w:color w:val="auto"/>
          <w:sz w:val="32"/>
          <w:szCs w:val="32"/>
        </w:rPr>
        <w:t>万元。</w:t>
      </w:r>
    </w:p>
    <w:p w14:paraId="7F0C568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rPr>
      </w:pPr>
      <w:r>
        <w:rPr>
          <w:rFonts w:hint="eastAsia" w:ascii="方正楷体简体" w:hAnsi="方正楷体简体" w:eastAsia="方正楷体简体" w:cs="方正楷体简体"/>
          <w:color w:val="auto"/>
          <w:sz w:val="32"/>
          <w:szCs w:val="32"/>
        </w:rPr>
        <w:t>（二）国有资本经营预算财政拨款支出决算结构情况</w:t>
      </w:r>
    </w:p>
    <w:p w14:paraId="2CDBB1C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rPr>
        <w:t>2025</w:t>
      </w:r>
      <w:r>
        <w:rPr>
          <w:rFonts w:hint="default" w:ascii="Times New Roman" w:hAnsi="Times New Roman" w:eastAsia="仿宋_GB2312" w:cs="Times New Roman"/>
          <w:color w:val="auto"/>
          <w:sz w:val="32"/>
          <w:szCs w:val="32"/>
        </w:rPr>
        <w:t>年度国有资本经营预算财政拨款支出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w:t>
      </w:r>
    </w:p>
    <w:p w14:paraId="6DA2D67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color w:val="auto"/>
          <w:sz w:val="32"/>
          <w:szCs w:val="32"/>
        </w:rPr>
      </w:pPr>
      <w:r>
        <w:rPr>
          <w:rFonts w:hint="eastAsia" w:ascii="方正楷体简体" w:hAnsi="方正楷体简体" w:eastAsia="方正楷体简体" w:cs="方正楷体简体"/>
          <w:color w:val="auto"/>
          <w:sz w:val="32"/>
          <w:szCs w:val="32"/>
        </w:rPr>
        <w:t>（三）国有资本经营预算财政拨款支出决算具体情况</w:t>
      </w:r>
    </w:p>
    <w:p w14:paraId="314667B1">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lang w:val="en-US"/>
        </w:rPr>
        <w:t>2025</w:t>
      </w:r>
      <w:r>
        <w:rPr>
          <w:rFonts w:hint="default" w:ascii="Times New Roman" w:hAnsi="Times New Roman" w:eastAsia="仿宋_GB2312" w:cs="Times New Roman"/>
          <w:color w:val="auto"/>
          <w:sz w:val="32"/>
          <w:szCs w:val="32"/>
        </w:rPr>
        <w:t>年度国有资本经营预算财政拨款支出年初预算为</w:t>
      </w:r>
      <w:r>
        <w:rPr>
          <w:rFonts w:hint="default" w:ascii="Times New Roman" w:hAnsi="Times New Roman" w:eastAsia="仿宋_GB2312" w:cs="Times New Roman"/>
          <w:color w:val="auto"/>
          <w:sz w:val="32"/>
          <w:szCs w:val="32"/>
          <w:lang w:val="en-US" w:eastAsia="zh-CN"/>
        </w:rPr>
        <w:t>0</w:t>
      </w:r>
      <w:r>
        <w:rPr>
          <w:rFonts w:hint="default" w:ascii="Times New Roman" w:hAnsi="Times New Roman" w:eastAsia="仿宋_GB2312" w:cs="Times New Roman"/>
          <w:color w:val="auto"/>
          <w:sz w:val="32"/>
          <w:szCs w:val="32"/>
        </w:rPr>
        <w:t>万元。</w:t>
      </w:r>
    </w:p>
    <w:p w14:paraId="5834EC2B">
      <w:pPr>
        <w:keepNext w:val="0"/>
        <w:keepLines w:val="0"/>
        <w:pageBreakBefore w:val="0"/>
        <w:widowControl w:val="0"/>
        <w:kinsoku/>
        <w:wordWrap/>
        <w:overflowPunct/>
        <w:topLinePunct w:val="0"/>
        <w:autoSpaceDE/>
        <w:autoSpaceDN/>
        <w:bidi w:val="0"/>
        <w:adjustRightInd/>
        <w:snapToGrid/>
        <w:spacing w:line="578" w:lineRule="exact"/>
        <w:ind w:firstLine="627" w:firstLineChars="196"/>
        <w:textAlignment w:val="auto"/>
        <w:rPr>
          <w:rFonts w:hint="eastAsia" w:ascii="方正黑体简体" w:hAnsi="方正黑体简体" w:eastAsia="方正黑体简体" w:cs="方正黑体简体"/>
          <w:b w:val="0"/>
          <w:bCs/>
          <w:color w:val="auto"/>
          <w:sz w:val="32"/>
          <w:szCs w:val="32"/>
        </w:rPr>
      </w:pPr>
      <w:r>
        <w:rPr>
          <w:rFonts w:hint="eastAsia" w:ascii="方正黑体简体" w:hAnsi="方正黑体简体" w:eastAsia="方正黑体简体" w:cs="方正黑体简体"/>
          <w:b w:val="0"/>
          <w:bCs/>
          <w:color w:val="auto"/>
          <w:sz w:val="32"/>
          <w:szCs w:val="32"/>
        </w:rPr>
        <w:t>九、财政拨款“三公”经费支出决算情况说明</w:t>
      </w:r>
    </w:p>
    <w:p w14:paraId="18F9E7F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bCs/>
          <w:color w:val="auto"/>
          <w:sz w:val="32"/>
          <w:szCs w:val="32"/>
        </w:rPr>
      </w:pPr>
      <w:r>
        <w:rPr>
          <w:rFonts w:hint="eastAsia" w:ascii="方正楷体简体" w:hAnsi="方正楷体简体" w:eastAsia="方正楷体简体" w:cs="方正楷体简体"/>
          <w:bCs/>
          <w:color w:val="auto"/>
          <w:sz w:val="32"/>
          <w:szCs w:val="32"/>
        </w:rPr>
        <w:t>（一）财政拨款“三公”经费支出决算总体情况说明</w:t>
      </w:r>
    </w:p>
    <w:p w14:paraId="1367A270">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 xml:space="preserve"> </w:t>
      </w:r>
      <w:r>
        <w:rPr>
          <w:rFonts w:hint="default" w:ascii="Times New Roman" w:hAnsi="Times New Roman" w:eastAsia="方正仿宋简体" w:cs="Times New Roman"/>
          <w:color w:val="auto"/>
          <w:sz w:val="32"/>
          <w:szCs w:val="32"/>
        </w:rPr>
        <w:t xml:space="preserve">   </w:t>
      </w: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年度财政拨款“三公”经费支出预算为</w:t>
      </w:r>
      <w:r>
        <w:rPr>
          <w:rFonts w:hint="default" w:ascii="Times New Roman" w:hAnsi="Times New Roman" w:eastAsia="方正仿宋简体" w:cs="Times New Roman"/>
          <w:color w:val="auto"/>
          <w:sz w:val="32"/>
          <w:szCs w:val="32"/>
          <w:lang w:val="en-US"/>
        </w:rPr>
        <w:t>11.52</w:t>
      </w:r>
      <w:r>
        <w:rPr>
          <w:rFonts w:hint="default" w:ascii="Times New Roman" w:hAnsi="Times New Roman" w:eastAsia="方正仿宋简体" w:cs="Times New Roman"/>
          <w:color w:val="auto"/>
          <w:sz w:val="32"/>
          <w:szCs w:val="32"/>
        </w:rPr>
        <w:t>万元，支出决算为</w:t>
      </w:r>
      <w:r>
        <w:rPr>
          <w:rFonts w:hint="default" w:ascii="Times New Roman" w:hAnsi="Times New Roman" w:eastAsia="方正仿宋简体" w:cs="Times New Roman"/>
          <w:color w:val="auto"/>
          <w:sz w:val="32"/>
          <w:szCs w:val="32"/>
          <w:lang w:val="en-US"/>
        </w:rPr>
        <w:t>11.52</w:t>
      </w:r>
      <w:r>
        <w:rPr>
          <w:rFonts w:hint="default" w:ascii="Times New Roman" w:hAnsi="Times New Roman" w:eastAsia="方正仿宋简体" w:cs="Times New Roman"/>
          <w:color w:val="auto"/>
          <w:sz w:val="32"/>
          <w:szCs w:val="32"/>
        </w:rPr>
        <w:t>万元，完成预算的</w:t>
      </w:r>
      <w:r>
        <w:rPr>
          <w:rFonts w:hint="default" w:ascii="Times New Roman" w:hAnsi="Times New Roman" w:eastAsia="方正仿宋简体" w:cs="Times New Roman"/>
          <w:color w:val="auto"/>
          <w:sz w:val="32"/>
          <w:szCs w:val="32"/>
          <w:lang w:val="en-US" w:eastAsia="zh-CN"/>
        </w:rPr>
        <w:t>100</w:t>
      </w:r>
      <w:r>
        <w:rPr>
          <w:rFonts w:hint="default" w:ascii="Times New Roman" w:hAnsi="Times New Roman" w:eastAsia="方正仿宋简体" w:cs="Times New Roman"/>
          <w:color w:val="auto"/>
          <w:sz w:val="32"/>
          <w:szCs w:val="32"/>
        </w:rPr>
        <w:t>%，与</w:t>
      </w:r>
      <w:r>
        <w:rPr>
          <w:rFonts w:hint="default" w:ascii="Times New Roman" w:hAnsi="Times New Roman" w:eastAsia="方正仿宋简体" w:cs="Times New Roman"/>
          <w:color w:val="auto"/>
          <w:sz w:val="32"/>
          <w:szCs w:val="32"/>
          <w:lang w:val="en-US"/>
        </w:rPr>
        <w:t>2024</w:t>
      </w:r>
      <w:r>
        <w:rPr>
          <w:rFonts w:hint="default" w:ascii="Times New Roman" w:hAnsi="Times New Roman" w:eastAsia="方正仿宋简体" w:cs="Times New Roman"/>
          <w:color w:val="auto"/>
          <w:sz w:val="32"/>
          <w:szCs w:val="32"/>
        </w:rPr>
        <w:t>年度相比，“三公”经费支出减少</w:t>
      </w:r>
      <w:r>
        <w:rPr>
          <w:rFonts w:hint="default" w:ascii="Times New Roman" w:hAnsi="Times New Roman" w:eastAsia="方正仿宋简体" w:cs="Times New Roman"/>
          <w:color w:val="auto"/>
          <w:sz w:val="32"/>
          <w:szCs w:val="32"/>
          <w:lang w:val="en-US" w:eastAsia="zh-CN"/>
        </w:rPr>
        <w:t>1.08</w:t>
      </w:r>
      <w:r>
        <w:rPr>
          <w:rFonts w:hint="default" w:ascii="Times New Roman" w:hAnsi="Times New Roman" w:eastAsia="方正仿宋简体" w:cs="Times New Roman"/>
          <w:color w:val="auto"/>
          <w:sz w:val="32"/>
          <w:szCs w:val="32"/>
        </w:rPr>
        <w:t>万元，下降</w:t>
      </w:r>
      <w:r>
        <w:rPr>
          <w:rFonts w:hint="default" w:ascii="Times New Roman" w:hAnsi="Times New Roman" w:eastAsia="方正仿宋简体" w:cs="Times New Roman"/>
          <w:color w:val="auto"/>
          <w:sz w:val="32"/>
          <w:szCs w:val="32"/>
          <w:lang w:val="en-US" w:eastAsia="zh-CN"/>
        </w:rPr>
        <w:t>8.57</w:t>
      </w:r>
      <w:r>
        <w:rPr>
          <w:rFonts w:hint="default" w:ascii="Times New Roman" w:hAnsi="Times New Roman" w:eastAsia="方正仿宋简体" w:cs="Times New Roman"/>
          <w:color w:val="auto"/>
          <w:sz w:val="32"/>
          <w:szCs w:val="32"/>
        </w:rPr>
        <w:t>%，主要原因是</w:t>
      </w:r>
      <w:r>
        <w:rPr>
          <w:rFonts w:hint="default" w:ascii="Times New Roman" w:hAnsi="Times New Roman" w:eastAsia="方正仿宋简体" w:cs="Times New Roman"/>
          <w:color w:val="auto"/>
          <w:sz w:val="32"/>
          <w:szCs w:val="32"/>
          <w:lang w:val="en-US" w:eastAsia="zh-CN"/>
        </w:rPr>
        <w:t>年初预算减少</w:t>
      </w:r>
      <w:r>
        <w:rPr>
          <w:rFonts w:hint="default" w:ascii="Times New Roman" w:hAnsi="Times New Roman" w:eastAsia="方正仿宋简体" w:cs="Times New Roman"/>
          <w:color w:val="auto"/>
          <w:sz w:val="32"/>
          <w:szCs w:val="32"/>
        </w:rPr>
        <w:t>。</w:t>
      </w:r>
    </w:p>
    <w:p w14:paraId="0787B19B">
      <w:pPr>
        <w:keepNext w:val="0"/>
        <w:keepLines w:val="0"/>
        <w:pageBreakBefore w:val="0"/>
        <w:widowControl w:val="0"/>
        <w:kinsoku/>
        <w:wordWrap/>
        <w:overflowPunct/>
        <w:topLinePunct w:val="0"/>
        <w:autoSpaceDE/>
        <w:autoSpaceDN/>
        <w:bidi w:val="0"/>
        <w:adjustRightInd/>
        <w:snapToGrid/>
        <w:spacing w:line="578" w:lineRule="exact"/>
        <w:textAlignment w:val="auto"/>
        <w:rPr>
          <w:rFonts w:hint="eastAsia" w:ascii="楷体" w:hAnsi="楷体" w:eastAsia="楷体" w:cs="楷体"/>
          <w:color w:val="auto"/>
          <w:sz w:val="32"/>
          <w:szCs w:val="32"/>
        </w:rPr>
      </w:pPr>
      <w:r>
        <w:rPr>
          <w:rFonts w:hint="eastAsia" w:ascii="楷体" w:hAnsi="楷体" w:eastAsia="楷体" w:cs="楷体"/>
          <w:b/>
          <w:bCs/>
          <w:color w:val="auto"/>
          <w:sz w:val="32"/>
          <w:szCs w:val="32"/>
        </w:rPr>
        <w:t xml:space="preserve">  </w:t>
      </w:r>
      <w:r>
        <w:rPr>
          <w:rFonts w:hint="eastAsia" w:ascii="方正楷体简体" w:hAnsi="方正楷体简体" w:eastAsia="方正楷体简体" w:cs="方正楷体简体"/>
          <w:b/>
          <w:bCs/>
          <w:color w:val="auto"/>
          <w:sz w:val="32"/>
          <w:szCs w:val="32"/>
        </w:rPr>
        <w:t xml:space="preserve"> </w:t>
      </w:r>
      <w:r>
        <w:rPr>
          <w:rFonts w:hint="eastAsia" w:ascii="方正楷体简体" w:hAnsi="方正楷体简体" w:eastAsia="方正楷体简体" w:cs="方正楷体简体"/>
          <w:color w:val="auto"/>
          <w:sz w:val="32"/>
          <w:szCs w:val="32"/>
        </w:rPr>
        <w:t xml:space="preserve"> （二）财政拨款“三公”经费支出决算具体情况说明</w:t>
      </w:r>
    </w:p>
    <w:p w14:paraId="7B26A5C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年度财政拨款“三公”经费支出决算中，因公出国（境）费支出决算</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%；公务用车购置及运行维护费支出决算</w:t>
      </w:r>
      <w:r>
        <w:rPr>
          <w:rFonts w:hint="default" w:ascii="Times New Roman" w:hAnsi="Times New Roman" w:eastAsia="方正仿宋简体" w:cs="Times New Roman"/>
          <w:color w:val="auto"/>
          <w:sz w:val="32"/>
          <w:szCs w:val="32"/>
          <w:lang w:val="en-US"/>
        </w:rPr>
        <w:t>11.52</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100</w:t>
      </w:r>
      <w:r>
        <w:rPr>
          <w:rFonts w:hint="default" w:ascii="Times New Roman" w:hAnsi="Times New Roman" w:eastAsia="方正仿宋简体" w:cs="Times New Roman"/>
          <w:color w:val="auto"/>
          <w:sz w:val="32"/>
          <w:szCs w:val="32"/>
        </w:rPr>
        <w:t>%；公务接待费支出决算</w:t>
      </w:r>
      <w:r>
        <w:rPr>
          <w:rFonts w:hint="default" w:ascii="Times New Roman" w:hAnsi="Times New Roman" w:eastAsia="方正仿宋简体" w:cs="Times New Roman"/>
          <w:color w:val="auto"/>
          <w:sz w:val="32"/>
          <w:szCs w:val="32"/>
          <w:lang w:val="en-US"/>
        </w:rPr>
        <w:t>0</w:t>
      </w:r>
      <w:r>
        <w:rPr>
          <w:rFonts w:hint="default" w:ascii="Times New Roman" w:hAnsi="Times New Roman" w:eastAsia="方正仿宋简体" w:cs="Times New Roman"/>
          <w:color w:val="auto"/>
          <w:sz w:val="32"/>
          <w:szCs w:val="32"/>
        </w:rPr>
        <w:t>万元，占</w:t>
      </w:r>
      <w:r>
        <w:rPr>
          <w:rFonts w:hint="default" w:ascii="Times New Roman" w:hAnsi="Times New Roman" w:eastAsia="方正仿宋简体" w:cs="Times New Roman"/>
          <w:color w:val="auto"/>
          <w:sz w:val="32"/>
          <w:szCs w:val="32"/>
          <w:lang w:val="en-US" w:eastAsia="zh-CN"/>
        </w:rPr>
        <w:t>0</w:t>
      </w:r>
      <w:r>
        <w:rPr>
          <w:rFonts w:hint="default" w:ascii="Times New Roman" w:hAnsi="Times New Roman" w:eastAsia="方正仿宋简体" w:cs="Times New Roman"/>
          <w:color w:val="auto"/>
          <w:sz w:val="32"/>
          <w:szCs w:val="32"/>
        </w:rPr>
        <w:t>%。具体情况如下：</w:t>
      </w:r>
    </w:p>
    <w:p w14:paraId="732BBD5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color w:val="auto"/>
          <w:sz w:val="32"/>
          <w:szCs w:val="32"/>
        </w:rPr>
      </w:pPr>
      <w:r>
        <w:rPr>
          <w:rFonts w:hint="default" w:ascii="Times New Roman" w:hAnsi="Times New Roman" w:eastAsia="方正仿宋简体" w:cs="Times New Roman"/>
          <w:b w:val="0"/>
          <w:bCs/>
          <w:color w:val="auto"/>
          <w:sz w:val="32"/>
          <w:szCs w:val="32"/>
        </w:rPr>
        <w:t>1.因公出国（境）费</w:t>
      </w:r>
      <w:r>
        <w:rPr>
          <w:rFonts w:hint="default" w:ascii="Times New Roman" w:hAnsi="Times New Roman" w:eastAsia="方正仿宋简体" w:cs="Times New Roman"/>
          <w:b w:val="0"/>
          <w:bCs/>
          <w:color w:val="auto"/>
          <w:sz w:val="32"/>
          <w:szCs w:val="32"/>
          <w:lang w:val="en-US" w:eastAsia="zh-CN"/>
        </w:rPr>
        <w:t>用</w:t>
      </w:r>
      <w:r>
        <w:rPr>
          <w:rFonts w:hint="default" w:ascii="Times New Roman" w:hAnsi="Times New Roman" w:eastAsia="方正仿宋简体" w:cs="Times New Roman"/>
          <w:b w:val="0"/>
          <w:bCs/>
          <w:color w:val="auto"/>
          <w:sz w:val="32"/>
          <w:szCs w:val="32"/>
        </w:rPr>
        <w:t>支出</w:t>
      </w:r>
      <w:r>
        <w:rPr>
          <w:rFonts w:hint="default" w:ascii="Times New Roman" w:hAnsi="Times New Roman" w:eastAsia="方正仿宋简体" w:cs="Times New Roman"/>
          <w:b w:val="0"/>
          <w:bCs/>
          <w:color w:val="auto"/>
          <w:sz w:val="32"/>
          <w:szCs w:val="32"/>
          <w:lang w:val="en-US"/>
        </w:rPr>
        <w:t>0.00</w:t>
      </w:r>
      <w:r>
        <w:rPr>
          <w:rFonts w:hint="default" w:ascii="Times New Roman" w:hAnsi="Times New Roman" w:eastAsia="方正仿宋简体" w:cs="Times New Roman"/>
          <w:b w:val="0"/>
          <w:bCs/>
          <w:color w:val="auto"/>
          <w:sz w:val="32"/>
          <w:szCs w:val="32"/>
        </w:rPr>
        <w:t>万元。</w:t>
      </w:r>
    </w:p>
    <w:p w14:paraId="3CE98D52">
      <w:pPr>
        <w:keepNext w:val="0"/>
        <w:keepLines w:val="0"/>
        <w:pageBreakBefore w:val="0"/>
        <w:widowControl w:val="0"/>
        <w:kinsoku/>
        <w:wordWrap/>
        <w:overflowPunct/>
        <w:topLinePunct w:val="0"/>
        <w:autoSpaceDE/>
        <w:autoSpaceDN/>
        <w:bidi w:val="0"/>
        <w:adjustRightInd/>
        <w:snapToGrid/>
        <w:spacing w:line="578" w:lineRule="exact"/>
        <w:textAlignment w:val="auto"/>
        <w:rPr>
          <w:rFonts w:hint="default" w:ascii="Times New Roman" w:hAnsi="Times New Roman" w:eastAsia="方正仿宋简体" w:cs="Times New Roman"/>
          <w:b w:val="0"/>
          <w:bCs/>
          <w:color w:val="auto"/>
          <w:sz w:val="32"/>
          <w:szCs w:val="32"/>
        </w:rPr>
      </w:pPr>
      <w:r>
        <w:rPr>
          <w:rFonts w:hint="default" w:ascii="Times New Roman" w:hAnsi="Times New Roman" w:eastAsia="方正仿宋简体" w:cs="Times New Roman"/>
          <w:b w:val="0"/>
          <w:bCs/>
          <w:color w:val="auto"/>
          <w:sz w:val="32"/>
          <w:szCs w:val="32"/>
        </w:rPr>
        <w:t xml:space="preserve">    2.公务用车购置及运行维护费支出</w:t>
      </w:r>
      <w:r>
        <w:rPr>
          <w:rFonts w:hint="default" w:ascii="Times New Roman" w:hAnsi="Times New Roman" w:eastAsia="方正仿宋简体" w:cs="Times New Roman"/>
          <w:b w:val="0"/>
          <w:bCs/>
          <w:color w:val="auto"/>
          <w:sz w:val="32"/>
          <w:szCs w:val="32"/>
          <w:lang w:val="en-US"/>
        </w:rPr>
        <w:t>11.52</w:t>
      </w:r>
      <w:r>
        <w:rPr>
          <w:rFonts w:hint="default" w:ascii="Times New Roman" w:hAnsi="Times New Roman" w:eastAsia="方正仿宋简体" w:cs="Times New Roman"/>
          <w:b w:val="0"/>
          <w:bCs/>
          <w:color w:val="auto"/>
          <w:sz w:val="32"/>
          <w:szCs w:val="32"/>
        </w:rPr>
        <w:t>万元。其中：公务用车购置支出</w:t>
      </w:r>
      <w:r>
        <w:rPr>
          <w:rFonts w:hint="default" w:ascii="Times New Roman" w:hAnsi="Times New Roman" w:eastAsia="方正仿宋简体" w:cs="Times New Roman"/>
          <w:b w:val="0"/>
          <w:bCs/>
          <w:color w:val="auto"/>
          <w:sz w:val="32"/>
          <w:szCs w:val="32"/>
          <w:lang w:val="en-US"/>
        </w:rPr>
        <w:t>0.00</w:t>
      </w:r>
      <w:r>
        <w:rPr>
          <w:rFonts w:hint="default" w:ascii="Times New Roman" w:hAnsi="Times New Roman" w:eastAsia="方正仿宋简体" w:cs="Times New Roman"/>
          <w:b w:val="0"/>
          <w:bCs/>
          <w:color w:val="auto"/>
          <w:sz w:val="32"/>
          <w:szCs w:val="32"/>
        </w:rPr>
        <w:t>万元。公务用车运行维护费支出</w:t>
      </w:r>
      <w:r>
        <w:rPr>
          <w:rFonts w:hint="default" w:ascii="Times New Roman" w:hAnsi="Times New Roman" w:eastAsia="方正仿宋简体" w:cs="Times New Roman"/>
          <w:b w:val="0"/>
          <w:bCs/>
          <w:color w:val="auto"/>
          <w:sz w:val="32"/>
          <w:szCs w:val="32"/>
          <w:lang w:val="en-US"/>
        </w:rPr>
        <w:t>11.52</w:t>
      </w:r>
      <w:r>
        <w:rPr>
          <w:rFonts w:hint="default" w:ascii="Times New Roman" w:hAnsi="Times New Roman" w:eastAsia="方正仿宋简体" w:cs="Times New Roman"/>
          <w:b w:val="0"/>
          <w:bCs/>
          <w:color w:val="auto"/>
          <w:sz w:val="32"/>
          <w:szCs w:val="32"/>
        </w:rPr>
        <w:t>万元，主要用于</w:t>
      </w:r>
      <w:r>
        <w:rPr>
          <w:rFonts w:hint="default" w:ascii="Times New Roman" w:hAnsi="Times New Roman" w:eastAsia="方正仿宋简体" w:cs="Times New Roman"/>
          <w:b w:val="0"/>
          <w:bCs/>
          <w:color w:val="auto"/>
          <w:sz w:val="32"/>
          <w:szCs w:val="32"/>
          <w:lang w:val="en-US" w:eastAsia="zh-CN"/>
        </w:rPr>
        <w:t>出差油料费、车辆维修维护费、购买车辆保险费及洗车费</w:t>
      </w:r>
      <w:r>
        <w:rPr>
          <w:rFonts w:hint="default" w:ascii="Times New Roman" w:hAnsi="Times New Roman" w:eastAsia="方正仿宋简体" w:cs="Times New Roman"/>
          <w:b w:val="0"/>
          <w:bCs/>
          <w:color w:val="auto"/>
          <w:sz w:val="32"/>
          <w:szCs w:val="32"/>
        </w:rPr>
        <w:t>。公务用车购置及运行维护费支出决算数</w:t>
      </w:r>
      <w:r>
        <w:rPr>
          <w:rFonts w:hint="default" w:ascii="Times New Roman" w:hAnsi="Times New Roman" w:eastAsia="方正仿宋简体" w:cs="Times New Roman"/>
          <w:b w:val="0"/>
          <w:bCs/>
          <w:color w:val="auto"/>
          <w:sz w:val="32"/>
          <w:szCs w:val="32"/>
          <w:lang w:val="en-US" w:eastAsia="zh-CN"/>
        </w:rPr>
        <w:t>等于</w:t>
      </w:r>
      <w:r>
        <w:rPr>
          <w:rFonts w:hint="default" w:ascii="Times New Roman" w:hAnsi="Times New Roman" w:eastAsia="方正仿宋简体" w:cs="Times New Roman"/>
          <w:b w:val="0"/>
          <w:bCs/>
          <w:color w:val="auto"/>
          <w:sz w:val="32"/>
          <w:szCs w:val="32"/>
        </w:rPr>
        <w:t>预算数，</w:t>
      </w:r>
      <w:r>
        <w:rPr>
          <w:rFonts w:hint="default" w:ascii="Times New Roman" w:hAnsi="Times New Roman" w:eastAsia="方正仿宋简体" w:cs="Times New Roman"/>
          <w:b w:val="0"/>
          <w:bCs/>
          <w:color w:val="auto"/>
          <w:sz w:val="32"/>
          <w:szCs w:val="32"/>
          <w:lang w:val="en-US" w:eastAsia="zh-CN"/>
        </w:rPr>
        <w:t>完成预算的</w:t>
      </w:r>
      <w:r>
        <w:rPr>
          <w:rFonts w:hint="default" w:ascii="Times New Roman" w:hAnsi="Times New Roman" w:eastAsia="方正仿宋简体" w:cs="Times New Roman"/>
          <w:b w:val="0"/>
          <w:bCs/>
          <w:color w:val="auto"/>
          <w:sz w:val="32"/>
          <w:szCs w:val="32"/>
          <w:lang w:val="en-US" w:eastAsia="zh-CN"/>
        </w:rPr>
        <w:t>100</w:t>
      </w:r>
      <w:r>
        <w:rPr>
          <w:rFonts w:hint="default" w:ascii="Times New Roman" w:hAnsi="Times New Roman" w:eastAsia="方正仿宋简体" w:cs="Times New Roman"/>
          <w:b w:val="0"/>
          <w:bCs/>
          <w:color w:val="auto"/>
          <w:sz w:val="32"/>
          <w:szCs w:val="32"/>
        </w:rPr>
        <w:t>%</w:t>
      </w:r>
      <w:r>
        <w:rPr>
          <w:rFonts w:hint="default" w:ascii="Times New Roman" w:hAnsi="Times New Roman" w:eastAsia="方正仿宋简体" w:cs="Times New Roman"/>
          <w:b w:val="0"/>
          <w:bCs/>
          <w:color w:val="auto"/>
          <w:sz w:val="32"/>
          <w:szCs w:val="32"/>
          <w:lang w:val="en-US" w:eastAsia="zh-CN"/>
        </w:rPr>
        <w:t>。</w:t>
      </w:r>
      <w:r>
        <w:rPr>
          <w:rFonts w:hint="default" w:ascii="Times New Roman" w:hAnsi="Times New Roman" w:eastAsia="方正仿宋简体" w:cs="Times New Roman"/>
          <w:b w:val="0"/>
          <w:bCs/>
          <w:color w:val="auto"/>
          <w:sz w:val="32"/>
          <w:szCs w:val="32"/>
        </w:rPr>
        <w:t>与</w:t>
      </w:r>
      <w:r>
        <w:rPr>
          <w:rFonts w:hint="default" w:ascii="Times New Roman" w:hAnsi="Times New Roman" w:eastAsia="方正仿宋简体" w:cs="Times New Roman"/>
          <w:b w:val="0"/>
          <w:bCs/>
          <w:color w:val="auto"/>
          <w:sz w:val="32"/>
          <w:szCs w:val="32"/>
          <w:lang w:val="en-US"/>
        </w:rPr>
        <w:t>2024</w:t>
      </w:r>
      <w:r>
        <w:rPr>
          <w:rFonts w:hint="default" w:ascii="Times New Roman" w:hAnsi="Times New Roman" w:eastAsia="方正仿宋简体" w:cs="Times New Roman"/>
          <w:b w:val="0"/>
          <w:bCs/>
          <w:color w:val="auto"/>
          <w:sz w:val="32"/>
          <w:szCs w:val="32"/>
        </w:rPr>
        <w:t>年度相比，公务用车购置及运行维护费支出减少</w:t>
      </w:r>
      <w:r>
        <w:rPr>
          <w:rFonts w:hint="default" w:ascii="Times New Roman" w:hAnsi="Times New Roman" w:eastAsia="方正仿宋简体" w:cs="Times New Roman"/>
          <w:b w:val="0"/>
          <w:bCs/>
          <w:color w:val="auto"/>
          <w:sz w:val="32"/>
          <w:szCs w:val="32"/>
          <w:lang w:val="en-US" w:eastAsia="zh-CN"/>
        </w:rPr>
        <w:t>1.08</w:t>
      </w:r>
      <w:r>
        <w:rPr>
          <w:rFonts w:hint="default" w:ascii="Times New Roman" w:hAnsi="Times New Roman" w:eastAsia="方正仿宋简体" w:cs="Times New Roman"/>
          <w:b w:val="0"/>
          <w:bCs/>
          <w:color w:val="auto"/>
          <w:sz w:val="32"/>
          <w:szCs w:val="32"/>
        </w:rPr>
        <w:t>万元，下降</w:t>
      </w:r>
      <w:r>
        <w:rPr>
          <w:rFonts w:hint="default" w:ascii="Times New Roman" w:hAnsi="Times New Roman" w:eastAsia="方正仿宋简体" w:cs="Times New Roman"/>
          <w:b w:val="0"/>
          <w:bCs/>
          <w:color w:val="auto"/>
          <w:sz w:val="32"/>
          <w:szCs w:val="32"/>
          <w:lang w:val="en-US" w:eastAsia="zh-CN"/>
        </w:rPr>
        <w:t>8.57</w:t>
      </w:r>
      <w:r>
        <w:rPr>
          <w:rFonts w:hint="default" w:ascii="Times New Roman" w:hAnsi="Times New Roman" w:eastAsia="方正仿宋简体" w:cs="Times New Roman"/>
          <w:b w:val="0"/>
          <w:bCs/>
          <w:color w:val="auto"/>
          <w:sz w:val="32"/>
          <w:szCs w:val="32"/>
        </w:rPr>
        <w:t>%，主要原因是</w:t>
      </w:r>
      <w:r>
        <w:rPr>
          <w:rFonts w:hint="default" w:ascii="Times New Roman" w:hAnsi="Times New Roman" w:eastAsia="方正仿宋简体" w:cs="Times New Roman"/>
          <w:b w:val="0"/>
          <w:bCs/>
          <w:color w:val="auto"/>
          <w:sz w:val="32"/>
          <w:szCs w:val="32"/>
          <w:lang w:val="en-US" w:eastAsia="zh-CN"/>
        </w:rPr>
        <w:t>年初预算减少</w:t>
      </w:r>
      <w:r>
        <w:rPr>
          <w:rFonts w:hint="default" w:ascii="Times New Roman" w:hAnsi="Times New Roman" w:eastAsia="方正仿宋简体" w:cs="Times New Roman"/>
          <w:b w:val="0"/>
          <w:bCs/>
          <w:color w:val="auto"/>
          <w:sz w:val="32"/>
          <w:szCs w:val="32"/>
        </w:rPr>
        <w:t>。</w:t>
      </w:r>
    </w:p>
    <w:p w14:paraId="2A2F45B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b w:val="0"/>
          <w:bCs/>
          <w:color w:val="auto"/>
          <w:sz w:val="32"/>
          <w:szCs w:val="32"/>
          <w:lang w:eastAsia="zh-CN"/>
        </w:rPr>
      </w:pPr>
      <w:r>
        <w:rPr>
          <w:rFonts w:hint="default" w:ascii="Times New Roman" w:hAnsi="Times New Roman" w:eastAsia="方正仿宋简体" w:cs="Times New Roman"/>
          <w:b w:val="0"/>
          <w:bCs/>
          <w:color w:val="auto"/>
          <w:sz w:val="32"/>
          <w:szCs w:val="32"/>
        </w:rPr>
        <w:t xml:space="preserve">    3.公务接待费支出</w:t>
      </w:r>
      <w:r>
        <w:rPr>
          <w:rFonts w:hint="default" w:ascii="Times New Roman" w:hAnsi="Times New Roman" w:eastAsia="方正仿宋简体" w:cs="Times New Roman"/>
          <w:b w:val="0"/>
          <w:bCs/>
          <w:color w:val="auto"/>
          <w:sz w:val="32"/>
          <w:szCs w:val="32"/>
          <w:lang w:val="en-US" w:eastAsia="zh-CN"/>
        </w:rPr>
        <w:t>0</w:t>
      </w:r>
      <w:r>
        <w:rPr>
          <w:rFonts w:hint="default" w:ascii="Times New Roman" w:hAnsi="Times New Roman" w:eastAsia="方正仿宋简体" w:cs="Times New Roman"/>
          <w:b w:val="0"/>
          <w:bCs/>
          <w:color w:val="auto"/>
          <w:sz w:val="32"/>
          <w:szCs w:val="32"/>
        </w:rPr>
        <w:t>万元</w:t>
      </w:r>
      <w:r>
        <w:rPr>
          <w:rFonts w:hint="default" w:ascii="Times New Roman" w:hAnsi="Times New Roman" w:eastAsia="方正仿宋简体" w:cs="Times New Roman"/>
          <w:b w:val="0"/>
          <w:bCs/>
          <w:color w:val="auto"/>
          <w:sz w:val="32"/>
          <w:szCs w:val="32"/>
          <w:lang w:eastAsia="zh-CN"/>
        </w:rPr>
        <w:t>。</w:t>
      </w:r>
    </w:p>
    <w:p w14:paraId="3B8181B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黑体简体" w:hAnsi="方正黑体简体" w:eastAsia="方正黑体简体" w:cs="方正黑体简体"/>
          <w:b w:val="0"/>
          <w:bCs/>
          <w:color w:val="auto"/>
          <w:sz w:val="32"/>
          <w:szCs w:val="32"/>
        </w:rPr>
      </w:pPr>
      <w:r>
        <w:rPr>
          <w:rFonts w:hint="eastAsia" w:ascii="方正黑体简体" w:hAnsi="方正黑体简体" w:eastAsia="方正黑体简体" w:cs="方正黑体简体"/>
          <w:b w:val="0"/>
          <w:bCs/>
          <w:color w:val="auto"/>
          <w:sz w:val="32"/>
          <w:szCs w:val="32"/>
        </w:rPr>
        <w:t>十、预算绩效情况说明</w:t>
      </w:r>
    </w:p>
    <w:p w14:paraId="2D7B409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eastAsia" w:ascii="方正楷体简体" w:hAnsi="方正楷体简体" w:eastAsia="方正楷体简体" w:cs="方正楷体简体"/>
          <w:bCs/>
          <w:color w:val="auto"/>
          <w:sz w:val="32"/>
          <w:szCs w:val="32"/>
        </w:rPr>
        <w:t>绩效管理工作开展情况</w:t>
      </w:r>
      <w:r>
        <w:rPr>
          <w:rFonts w:hint="eastAsia" w:ascii="方正楷体简体" w:hAnsi="方正楷体简体" w:eastAsia="方正楷体简体" w:cs="方正楷体简体"/>
          <w:bCs/>
          <w:color w:val="auto"/>
          <w:sz w:val="32"/>
          <w:szCs w:val="32"/>
          <w:lang w:eastAsia="zh-CN"/>
        </w:rPr>
        <w:t>：</w:t>
      </w:r>
      <w:r>
        <w:rPr>
          <w:rFonts w:hint="eastAsia" w:ascii="方正楷体简体" w:hAnsi="方正楷体简体" w:eastAsia="方正楷体简体" w:cs="方正楷体简体"/>
          <w:bCs/>
          <w:color w:val="auto"/>
          <w:sz w:val="32"/>
          <w:szCs w:val="32"/>
          <w:lang w:val="en-US" w:eastAsia="zh-CN"/>
        </w:rPr>
        <w:t>（一）</w:t>
      </w:r>
      <w:r>
        <w:rPr>
          <w:rFonts w:hint="eastAsia" w:ascii="方正楷体简体" w:hAnsi="方正楷体简体" w:eastAsia="方正楷体简体" w:cs="方正楷体简体"/>
          <w:color w:val="auto"/>
          <w:sz w:val="32"/>
          <w:szCs w:val="32"/>
        </w:rPr>
        <w:t>项目支出情况</w:t>
      </w:r>
      <w:r>
        <w:rPr>
          <w:rFonts w:hint="eastAsia" w:ascii="仿宋_GB2312" w:hAnsi="Times New Roman" w:eastAsia="仿宋_GB2312" w:cs="Times New Roman"/>
          <w:color w:val="auto"/>
          <w:sz w:val="32"/>
          <w:szCs w:val="32"/>
        </w:rPr>
        <w:t>。</w:t>
      </w:r>
      <w:r>
        <w:rPr>
          <w:rFonts w:hint="default" w:ascii="Times New Roman" w:hAnsi="Times New Roman" w:eastAsia="方正仿宋简体" w:cs="Times New Roman"/>
          <w:color w:val="auto"/>
          <w:sz w:val="32"/>
          <w:szCs w:val="32"/>
          <w:lang w:eastAsia="zh-CN"/>
        </w:rPr>
        <w:t>2024</w:t>
      </w:r>
      <w:r>
        <w:rPr>
          <w:rFonts w:hint="default" w:ascii="Times New Roman" w:hAnsi="Times New Roman" w:eastAsia="方正仿宋简体" w:cs="Times New Roman"/>
          <w:color w:val="auto"/>
          <w:sz w:val="32"/>
          <w:szCs w:val="32"/>
        </w:rPr>
        <w:t>年预算项目均为规范资金支出管理，提高财政资金使用效益，使全县预算工作更规范、便捷、精细化的必要支出。</w:t>
      </w:r>
    </w:p>
    <w:p w14:paraId="7B0BCD63">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eastAsia" w:ascii="方正楷体简体" w:hAnsi="方正楷体简体" w:eastAsia="方正楷体简体" w:cs="方正楷体简体"/>
          <w:color w:val="auto"/>
          <w:sz w:val="32"/>
          <w:szCs w:val="32"/>
          <w:lang w:eastAsia="zh-CN"/>
        </w:rPr>
        <w:t>（</w:t>
      </w:r>
      <w:r>
        <w:rPr>
          <w:rFonts w:hint="eastAsia" w:ascii="方正楷体简体" w:hAnsi="方正楷体简体" w:eastAsia="方正楷体简体" w:cs="方正楷体简体"/>
          <w:color w:val="auto"/>
          <w:sz w:val="32"/>
          <w:szCs w:val="32"/>
          <w:lang w:val="en-US" w:eastAsia="zh-CN"/>
        </w:rPr>
        <w:t>二</w:t>
      </w:r>
      <w:r>
        <w:rPr>
          <w:rFonts w:hint="eastAsia" w:ascii="方正楷体简体" w:hAnsi="方正楷体简体" w:eastAsia="方正楷体简体" w:cs="方正楷体简体"/>
          <w:color w:val="auto"/>
          <w:sz w:val="32"/>
          <w:szCs w:val="32"/>
          <w:lang w:eastAsia="zh-CN"/>
        </w:rPr>
        <w:t>）</w:t>
      </w:r>
      <w:r>
        <w:rPr>
          <w:rFonts w:hint="eastAsia" w:ascii="方正楷体简体" w:hAnsi="方正楷体简体" w:eastAsia="方正楷体简体" w:cs="方正楷体简体"/>
          <w:color w:val="auto"/>
          <w:sz w:val="32"/>
          <w:szCs w:val="32"/>
        </w:rPr>
        <w:t>绩效自评工作开展情况。</w:t>
      </w:r>
      <w:r>
        <w:rPr>
          <w:rFonts w:hint="default" w:ascii="Times New Roman" w:hAnsi="Times New Roman" w:eastAsia="方正仿宋简体" w:cs="Times New Roman"/>
          <w:color w:val="auto"/>
          <w:sz w:val="32"/>
          <w:szCs w:val="32"/>
        </w:rPr>
        <w:t>为规范我局预算绩效管理制度，我局根据上级工作要求，一是压实各办公室工作职责、及时细化和完善预算项目工作方案，确保及时完成预算支出任务；二是定期督促相关办公室及时报送预算项目支出进展，进一步完善预算绩效跟踪工作机制、规范绩效工作制度。</w:t>
      </w:r>
    </w:p>
    <w:p w14:paraId="7FDC302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黑体简体" w:hAnsi="方正黑体简体" w:eastAsia="方正黑体简体" w:cs="方正黑体简体"/>
          <w:b w:val="0"/>
          <w:bCs/>
          <w:color w:val="auto"/>
          <w:sz w:val="32"/>
          <w:szCs w:val="32"/>
        </w:rPr>
      </w:pPr>
      <w:r>
        <w:rPr>
          <w:rFonts w:hint="eastAsia" w:ascii="方正黑体简体" w:hAnsi="方正黑体简体" w:eastAsia="方正黑体简体" w:cs="方正黑体简体"/>
          <w:b w:val="0"/>
          <w:bCs/>
          <w:color w:val="auto"/>
          <w:sz w:val="32"/>
          <w:szCs w:val="32"/>
        </w:rPr>
        <w:t>十一、其他重要事项情况说明</w:t>
      </w:r>
    </w:p>
    <w:p w14:paraId="42D67D3A">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bCs/>
          <w:color w:val="auto"/>
          <w:sz w:val="32"/>
          <w:szCs w:val="32"/>
        </w:rPr>
      </w:pPr>
      <w:bookmarkStart w:id="95" w:name="_Toc5978_WPSOffice_Level2"/>
      <w:bookmarkStart w:id="96" w:name="_Toc15565_WPSOffice_Level2"/>
      <w:bookmarkStart w:id="97" w:name="_Toc23598_WPSOffice_Level2"/>
      <w:bookmarkStart w:id="98" w:name="_Toc18325_WPSOffice_Level2"/>
      <w:bookmarkStart w:id="99" w:name="_Toc15262_WPSOffice_Level2"/>
      <w:bookmarkStart w:id="100" w:name="_Toc32639_WPSOffice_Level2"/>
      <w:r>
        <w:rPr>
          <w:rFonts w:hint="eastAsia" w:ascii="方正楷体简体" w:hAnsi="方正楷体简体" w:eastAsia="方正楷体简体" w:cs="方正楷体简体"/>
          <w:bCs/>
          <w:color w:val="auto"/>
          <w:sz w:val="32"/>
          <w:szCs w:val="32"/>
        </w:rPr>
        <w:t>（一）机关运行经费支出情况</w:t>
      </w:r>
      <w:bookmarkEnd w:id="95"/>
      <w:bookmarkEnd w:id="96"/>
      <w:bookmarkEnd w:id="97"/>
      <w:bookmarkEnd w:id="98"/>
      <w:bookmarkEnd w:id="99"/>
      <w:bookmarkEnd w:id="100"/>
    </w:p>
    <w:p w14:paraId="3938F2C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w:t>
      </w:r>
      <w:r>
        <w:rPr>
          <w:rFonts w:hint="default" w:ascii="Times New Roman" w:hAnsi="Times New Roman" w:eastAsia="方正仿宋简体" w:cs="Times New Roman"/>
          <w:color w:val="auto"/>
          <w:sz w:val="32"/>
          <w:szCs w:val="32"/>
          <w:lang w:val="en-US" w:eastAsia="zh-CN"/>
        </w:rPr>
        <w:t>县委办</w:t>
      </w:r>
      <w:r>
        <w:rPr>
          <w:rFonts w:hint="default" w:ascii="Times New Roman" w:hAnsi="Times New Roman" w:eastAsia="方正仿宋简体" w:cs="Times New Roman"/>
          <w:color w:val="auto"/>
          <w:sz w:val="32"/>
          <w:szCs w:val="32"/>
        </w:rPr>
        <w:t>机关运行经费</w:t>
      </w:r>
      <w:r>
        <w:rPr>
          <w:rFonts w:hint="default" w:ascii="Times New Roman" w:hAnsi="Times New Roman" w:eastAsia="方正仿宋简体" w:cs="Times New Roman"/>
          <w:color w:val="auto"/>
          <w:sz w:val="32"/>
          <w:szCs w:val="32"/>
          <w:lang w:val="en-US" w:eastAsia="zh-CN"/>
        </w:rPr>
        <w:t>83.85</w:t>
      </w:r>
      <w:r>
        <w:rPr>
          <w:rFonts w:hint="default" w:ascii="Times New Roman" w:hAnsi="Times New Roman" w:eastAsia="方正仿宋简体" w:cs="Times New Roman"/>
          <w:color w:val="auto"/>
          <w:sz w:val="32"/>
          <w:szCs w:val="32"/>
        </w:rPr>
        <w:t>万元（为部门决算中行政单位和参公事业单位财政拨款基本支出中公用经费支出之和，事业单位没有机关运行经费支出），比年初预算增加</w:t>
      </w:r>
      <w:r>
        <w:rPr>
          <w:rFonts w:hint="default" w:ascii="Times New Roman" w:hAnsi="Times New Roman" w:eastAsia="方正仿宋简体" w:cs="Times New Roman"/>
          <w:color w:val="auto"/>
          <w:sz w:val="32"/>
          <w:szCs w:val="32"/>
          <w:lang w:val="en-US" w:eastAsia="zh-CN"/>
        </w:rPr>
        <w:t>7.75</w:t>
      </w:r>
      <w:r>
        <w:rPr>
          <w:rFonts w:hint="default" w:ascii="Times New Roman" w:hAnsi="Times New Roman" w:eastAsia="方正仿宋简体" w:cs="Times New Roman"/>
          <w:color w:val="auto"/>
          <w:sz w:val="32"/>
          <w:szCs w:val="32"/>
        </w:rPr>
        <w:t>万元，</w:t>
      </w:r>
      <w:r>
        <w:rPr>
          <w:rFonts w:hint="default" w:ascii="Times New Roman" w:hAnsi="Times New Roman" w:eastAsia="方正仿宋简体" w:cs="Times New Roman"/>
          <w:color w:val="auto"/>
          <w:sz w:val="32"/>
          <w:szCs w:val="32"/>
          <w:lang w:val="en-US" w:eastAsia="zh-CN"/>
        </w:rPr>
        <w:t>完成预算的</w:t>
      </w:r>
      <w:r>
        <w:rPr>
          <w:rFonts w:hint="default" w:ascii="Times New Roman" w:hAnsi="Times New Roman" w:eastAsia="方正仿宋简体" w:cs="Times New Roman"/>
          <w:color w:val="auto"/>
          <w:sz w:val="32"/>
          <w:szCs w:val="32"/>
          <w:lang w:val="en-US" w:eastAsia="zh-CN"/>
        </w:rPr>
        <w:t>110.18</w:t>
      </w:r>
      <w:r>
        <w:rPr>
          <w:rFonts w:hint="default" w:ascii="Times New Roman" w:hAnsi="Times New Roman" w:eastAsia="方正仿宋简体" w:cs="Times New Roman"/>
          <w:color w:val="auto"/>
          <w:sz w:val="32"/>
          <w:szCs w:val="32"/>
        </w:rPr>
        <w:t>%</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lang w:val="en-US" w:eastAsia="zh-CN"/>
        </w:rPr>
        <w:t>与2024年度相比，机关运行经费</w:t>
      </w:r>
      <w:r>
        <w:rPr>
          <w:rFonts w:hint="default" w:ascii="Times New Roman" w:hAnsi="Times New Roman" w:eastAsia="方正仿宋简体" w:cs="Times New Roman"/>
          <w:color w:val="auto"/>
          <w:sz w:val="32"/>
          <w:szCs w:val="32"/>
        </w:rPr>
        <w:t>增加</w:t>
      </w:r>
      <w:r>
        <w:rPr>
          <w:rFonts w:hint="default" w:ascii="Times New Roman" w:hAnsi="Times New Roman" w:eastAsia="方正仿宋简体" w:cs="Times New Roman"/>
          <w:color w:val="auto"/>
          <w:sz w:val="32"/>
          <w:szCs w:val="32"/>
          <w:lang w:val="en-US" w:eastAsia="zh-CN"/>
        </w:rPr>
        <w:t>39.52</w:t>
      </w:r>
      <w:r>
        <w:rPr>
          <w:rFonts w:hint="default" w:ascii="Times New Roman" w:hAnsi="Times New Roman" w:eastAsia="方正仿宋简体" w:cs="Times New Roman"/>
          <w:color w:val="auto"/>
          <w:sz w:val="32"/>
          <w:szCs w:val="32"/>
        </w:rPr>
        <w:t>万元</w:t>
      </w:r>
      <w:r>
        <w:rPr>
          <w:rFonts w:hint="default" w:ascii="Times New Roman" w:hAnsi="Times New Roman" w:eastAsia="方正仿宋简体" w:cs="Times New Roman"/>
          <w:color w:val="auto"/>
          <w:sz w:val="32"/>
          <w:szCs w:val="32"/>
          <w:lang w:eastAsia="zh-CN"/>
        </w:rPr>
        <w:t>，</w:t>
      </w:r>
      <w:r>
        <w:rPr>
          <w:rFonts w:hint="default" w:ascii="Times New Roman" w:hAnsi="Times New Roman" w:eastAsia="方正仿宋简体" w:cs="Times New Roman"/>
          <w:color w:val="auto"/>
          <w:sz w:val="32"/>
          <w:szCs w:val="32"/>
          <w:lang w:val="en-US" w:eastAsia="zh-CN"/>
        </w:rPr>
        <w:t>增长</w:t>
      </w:r>
      <w:r>
        <w:rPr>
          <w:rFonts w:hint="default" w:ascii="Times New Roman" w:hAnsi="Times New Roman" w:eastAsia="方正仿宋简体" w:cs="Times New Roman"/>
          <w:color w:val="auto"/>
          <w:sz w:val="32"/>
          <w:szCs w:val="32"/>
          <w:lang w:val="en-US" w:eastAsia="zh-CN"/>
        </w:rPr>
        <w:t>89.15</w:t>
      </w:r>
      <w:r>
        <w:rPr>
          <w:rFonts w:hint="default" w:ascii="Times New Roman" w:hAnsi="Times New Roman" w:eastAsia="方正仿宋简体" w:cs="Times New Roman"/>
          <w:color w:val="auto"/>
          <w:sz w:val="32"/>
          <w:szCs w:val="32"/>
          <w:lang w:val="en-US" w:eastAsia="zh-CN"/>
        </w:rPr>
        <w:t>%。</w:t>
      </w:r>
      <w:r>
        <w:rPr>
          <w:rFonts w:hint="default" w:ascii="Times New Roman" w:hAnsi="Times New Roman" w:eastAsia="方正仿宋简体" w:cs="Times New Roman"/>
          <w:color w:val="auto"/>
          <w:sz w:val="32"/>
          <w:szCs w:val="32"/>
        </w:rPr>
        <w:t>主要原因是</w:t>
      </w:r>
      <w:r>
        <w:rPr>
          <w:rFonts w:hint="default" w:ascii="Times New Roman" w:hAnsi="Times New Roman" w:eastAsia="方正仿宋简体" w:cs="Times New Roman"/>
          <w:color w:val="auto"/>
          <w:sz w:val="32"/>
          <w:szCs w:val="32"/>
          <w:lang w:val="en-US" w:eastAsia="zh-CN"/>
        </w:rPr>
        <w:t>人员编制增加，相应经费随之增加</w:t>
      </w:r>
      <w:r>
        <w:rPr>
          <w:rFonts w:hint="default" w:ascii="Times New Roman" w:hAnsi="Times New Roman" w:eastAsia="方正仿宋简体" w:cs="Times New Roman"/>
          <w:color w:val="auto"/>
          <w:sz w:val="32"/>
          <w:szCs w:val="32"/>
        </w:rPr>
        <w:t>。</w:t>
      </w:r>
    </w:p>
    <w:p w14:paraId="32FB8A2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bCs/>
          <w:color w:val="auto"/>
          <w:sz w:val="32"/>
          <w:szCs w:val="32"/>
        </w:rPr>
      </w:pPr>
      <w:bookmarkStart w:id="101" w:name="_Toc32689_WPSOffice_Level2"/>
      <w:bookmarkStart w:id="102" w:name="_Toc13084_WPSOffice_Level2"/>
      <w:bookmarkStart w:id="103" w:name="_Toc30383_WPSOffice_Level2"/>
      <w:bookmarkStart w:id="104" w:name="_Toc25333_WPSOffice_Level2"/>
      <w:bookmarkStart w:id="105" w:name="_Toc23966_WPSOffice_Level2"/>
      <w:bookmarkStart w:id="106" w:name="_Toc3131_WPSOffice_Level2"/>
      <w:r>
        <w:rPr>
          <w:rFonts w:hint="eastAsia" w:ascii="方正楷体简体" w:hAnsi="方正楷体简体" w:eastAsia="方正楷体简体" w:cs="方正楷体简体"/>
          <w:bCs/>
          <w:color w:val="auto"/>
          <w:sz w:val="32"/>
          <w:szCs w:val="32"/>
        </w:rPr>
        <w:t>（二）政府采购支出情况</w:t>
      </w:r>
      <w:bookmarkEnd w:id="101"/>
      <w:bookmarkEnd w:id="102"/>
      <w:bookmarkEnd w:id="103"/>
      <w:bookmarkEnd w:id="104"/>
      <w:bookmarkEnd w:id="105"/>
      <w:bookmarkEnd w:id="106"/>
    </w:p>
    <w:p w14:paraId="5D7FFAF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z w:val="32"/>
          <w:szCs w:val="32"/>
          <w:lang w:val="en-US"/>
        </w:rPr>
        <w:t>2025</w:t>
      </w:r>
      <w:r>
        <w:rPr>
          <w:rFonts w:hint="default" w:ascii="Times New Roman" w:hAnsi="Times New Roman" w:eastAsia="方正仿宋简体" w:cs="Times New Roman"/>
          <w:color w:val="auto"/>
          <w:sz w:val="32"/>
          <w:szCs w:val="32"/>
        </w:rPr>
        <w:t>年度</w:t>
      </w:r>
      <w:r>
        <w:rPr>
          <w:rFonts w:hint="eastAsia" w:eastAsia="方正仿宋简体" w:cs="Times New Roman"/>
          <w:color w:val="auto"/>
          <w:sz w:val="32"/>
          <w:szCs w:val="32"/>
          <w:lang w:val="en-US" w:eastAsia="zh-CN"/>
        </w:rPr>
        <w:t>县委办</w:t>
      </w:r>
      <w:r>
        <w:rPr>
          <w:rFonts w:hint="default" w:ascii="Times New Roman" w:hAnsi="Times New Roman" w:eastAsia="方正仿宋简体" w:cs="Times New Roman"/>
          <w:color w:val="auto"/>
          <w:sz w:val="32"/>
          <w:szCs w:val="32"/>
        </w:rPr>
        <w:t>政府采购支出总额</w:t>
      </w:r>
      <w:r>
        <w:rPr>
          <w:rFonts w:hint="eastAsia" w:eastAsia="方正仿宋简体" w:cs="Times New Roman"/>
          <w:color w:val="auto"/>
          <w:sz w:val="32"/>
          <w:szCs w:val="32"/>
          <w:lang w:val="en-US" w:eastAsia="zh-CN"/>
        </w:rPr>
        <w:t>444.06</w:t>
      </w:r>
      <w:r>
        <w:rPr>
          <w:rFonts w:hint="default" w:ascii="Times New Roman" w:hAnsi="Times New Roman" w:eastAsia="方正仿宋简体" w:cs="Times New Roman"/>
          <w:color w:val="auto"/>
          <w:sz w:val="32"/>
          <w:szCs w:val="32"/>
        </w:rPr>
        <w:t>万元</w:t>
      </w:r>
      <w:r>
        <w:rPr>
          <w:rFonts w:hint="default" w:ascii="Times New Roman" w:hAnsi="Times New Roman" w:eastAsia="方正仿宋简体" w:cs="Times New Roman"/>
          <w:color w:val="auto"/>
          <w:sz w:val="32"/>
          <w:szCs w:val="32"/>
          <w:lang w:eastAsia="zh-CN"/>
        </w:rPr>
        <w:t>。</w:t>
      </w:r>
    </w:p>
    <w:p w14:paraId="3061DC45">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方正楷体简体" w:hAnsi="方正楷体简体" w:eastAsia="方正楷体简体" w:cs="方正楷体简体"/>
          <w:bCs/>
          <w:color w:val="auto"/>
          <w:sz w:val="32"/>
          <w:szCs w:val="32"/>
        </w:rPr>
      </w:pPr>
      <w:bookmarkStart w:id="107" w:name="_Toc19989_WPSOffice_Level2"/>
      <w:bookmarkStart w:id="108" w:name="_Toc15129_WPSOffice_Level2"/>
      <w:bookmarkStart w:id="109" w:name="_Toc527_WPSOffice_Level2"/>
      <w:bookmarkStart w:id="110" w:name="_Toc6016_WPSOffice_Level2"/>
      <w:bookmarkStart w:id="111" w:name="_Toc29584_WPSOffice_Level2"/>
      <w:bookmarkStart w:id="112" w:name="_Toc10902_WPSOffice_Level2"/>
      <w:r>
        <w:rPr>
          <w:rFonts w:hint="eastAsia" w:ascii="方正楷体简体" w:hAnsi="方正楷体简体" w:eastAsia="方正楷体简体" w:cs="方正楷体简体"/>
          <w:bCs/>
          <w:color w:val="auto"/>
          <w:sz w:val="32"/>
          <w:szCs w:val="32"/>
        </w:rPr>
        <w:t>（三）国有资产占用情况</w:t>
      </w:r>
      <w:bookmarkEnd w:id="107"/>
      <w:bookmarkEnd w:id="108"/>
      <w:bookmarkEnd w:id="109"/>
      <w:bookmarkEnd w:id="110"/>
      <w:bookmarkEnd w:id="111"/>
      <w:bookmarkEnd w:id="112"/>
    </w:p>
    <w:p w14:paraId="1E9C756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default" w:ascii="仿宋_GB2312" w:hAnsi="ˎ̥" w:eastAsia="仿宋_GB2312"/>
          <w:color w:val="auto"/>
          <w:sz w:val="32"/>
          <w:szCs w:val="32"/>
          <w:lang w:val="en-US" w:eastAsia="zh-CN"/>
        </w:rPr>
      </w:pPr>
      <w:r>
        <w:rPr>
          <w:rFonts w:hint="default" w:ascii="Times New Roman" w:hAnsi="Times New Roman" w:eastAsia="方正仿宋简体" w:cs="Times New Roman"/>
          <w:color w:val="auto"/>
          <w:sz w:val="32"/>
          <w:szCs w:val="32"/>
        </w:rPr>
        <w:t>本部门共有车辆</w:t>
      </w:r>
      <w:r>
        <w:rPr>
          <w:rFonts w:hint="eastAsia" w:eastAsia="方正仿宋简体" w:cs="Times New Roman"/>
          <w:color w:val="auto"/>
          <w:sz w:val="32"/>
          <w:szCs w:val="32"/>
          <w:lang w:val="en-US" w:eastAsia="zh-CN"/>
        </w:rPr>
        <w:t>2</w:t>
      </w:r>
      <w:r>
        <w:rPr>
          <w:rFonts w:hint="default" w:ascii="Times New Roman" w:hAnsi="Times New Roman" w:eastAsia="方正仿宋简体" w:cs="Times New Roman"/>
          <w:color w:val="auto"/>
          <w:sz w:val="32"/>
          <w:szCs w:val="32"/>
        </w:rPr>
        <w:t>辆，</w:t>
      </w:r>
      <w:r>
        <w:rPr>
          <w:rFonts w:hint="eastAsia" w:eastAsia="方正仿宋简体" w:cs="Times New Roman"/>
          <w:color w:val="auto"/>
          <w:sz w:val="32"/>
          <w:szCs w:val="32"/>
          <w:lang w:val="en-US" w:eastAsia="zh-CN"/>
        </w:rPr>
        <w:t>其中，</w:t>
      </w:r>
      <w:r>
        <w:rPr>
          <w:rFonts w:hint="default" w:ascii="Times New Roman" w:hAnsi="Times New Roman" w:eastAsia="方正仿宋简体" w:cs="Times New Roman"/>
          <w:color w:val="auto"/>
          <w:sz w:val="32"/>
          <w:szCs w:val="32"/>
        </w:rPr>
        <w:t>机要通信用车</w:t>
      </w:r>
      <w:r>
        <w:rPr>
          <w:rFonts w:hint="default" w:ascii="Times New Roman" w:hAnsi="Times New Roman" w:eastAsia="方正仿宋简体" w:cs="Times New Roman"/>
          <w:color w:val="auto"/>
          <w:sz w:val="32"/>
          <w:szCs w:val="32"/>
          <w:lang w:val="en-US" w:eastAsia="zh-CN"/>
        </w:rPr>
        <w:t>1</w:t>
      </w:r>
      <w:r>
        <w:rPr>
          <w:rFonts w:hint="default" w:ascii="Times New Roman" w:hAnsi="Times New Roman" w:eastAsia="方正仿宋简体" w:cs="Times New Roman"/>
          <w:color w:val="auto"/>
          <w:sz w:val="32"/>
          <w:szCs w:val="32"/>
        </w:rPr>
        <w:t>辆</w:t>
      </w:r>
      <w:r>
        <w:rPr>
          <w:rFonts w:hint="eastAsia" w:eastAsia="方正仿宋简体" w:cs="Times New Roman"/>
          <w:color w:val="auto"/>
          <w:sz w:val="32"/>
          <w:szCs w:val="32"/>
          <w:lang w:eastAsia="zh-CN"/>
        </w:rPr>
        <w:t>、</w:t>
      </w:r>
      <w:r>
        <w:rPr>
          <w:rFonts w:hint="eastAsia" w:eastAsia="方正仿宋简体" w:cs="Times New Roman"/>
          <w:color w:val="auto"/>
          <w:sz w:val="32"/>
          <w:szCs w:val="32"/>
          <w:lang w:val="en-US" w:eastAsia="zh-CN"/>
        </w:rPr>
        <w:t>单位主要领导用车1辆</w:t>
      </w:r>
      <w:bookmarkStart w:id="119" w:name="_GoBack"/>
      <w:bookmarkEnd w:id="119"/>
      <w:r>
        <w:rPr>
          <w:rFonts w:hint="default" w:ascii="Times New Roman" w:hAnsi="Times New Roman" w:eastAsia="方正仿宋简体" w:cs="Times New Roman"/>
          <w:color w:val="auto"/>
          <w:sz w:val="32"/>
          <w:szCs w:val="32"/>
        </w:rPr>
        <w:t>。</w:t>
      </w:r>
      <w:r>
        <w:rPr>
          <w:rFonts w:hint="eastAsia" w:ascii="仿宋_GB2312" w:hAnsi="ˎ̥" w:eastAsia="仿宋_GB2312"/>
          <w:color w:val="auto"/>
          <w:sz w:val="32"/>
          <w:szCs w:val="32"/>
          <w:lang w:val="en-US" w:eastAsia="zh-CN"/>
        </w:rPr>
        <w:t xml:space="preserve">     </w:t>
      </w:r>
    </w:p>
    <w:p w14:paraId="55E53DBC">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auto"/>
          <w:sz w:val="32"/>
          <w:szCs w:val="32"/>
        </w:rPr>
      </w:pPr>
      <w:bookmarkStart w:id="113" w:name="_Toc4398_WPSOffice_Level1"/>
      <w:bookmarkStart w:id="114" w:name="_Toc11039_WPSOffice_Level1"/>
      <w:bookmarkStart w:id="115" w:name="_Toc8874_WPSOffice_Level1"/>
      <w:bookmarkStart w:id="116" w:name="_Toc17580_WPSOffice_Level1"/>
      <w:bookmarkStart w:id="117" w:name="_Toc15425_WPSOffice_Level1"/>
      <w:bookmarkStart w:id="118" w:name="_Toc8808_WPSOffice_Level1"/>
    </w:p>
    <w:p w14:paraId="6B7FBB4F">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color w:val="auto"/>
          <w:sz w:val="44"/>
          <w:szCs w:val="44"/>
        </w:rPr>
      </w:pPr>
    </w:p>
    <w:p w14:paraId="1A9B48EC">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color w:val="auto"/>
          <w:sz w:val="44"/>
          <w:szCs w:val="44"/>
        </w:rPr>
      </w:pPr>
    </w:p>
    <w:p w14:paraId="73B14BCF">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color w:val="auto"/>
          <w:sz w:val="44"/>
          <w:szCs w:val="44"/>
        </w:rPr>
      </w:pPr>
    </w:p>
    <w:p w14:paraId="5D1C8CDE">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color w:val="auto"/>
          <w:sz w:val="44"/>
          <w:szCs w:val="44"/>
        </w:rPr>
      </w:pPr>
    </w:p>
    <w:p w14:paraId="1B53E3B8">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color w:val="auto"/>
          <w:sz w:val="44"/>
          <w:szCs w:val="44"/>
        </w:rPr>
      </w:pPr>
    </w:p>
    <w:p w14:paraId="454173FF">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color w:val="auto"/>
          <w:sz w:val="44"/>
          <w:szCs w:val="44"/>
        </w:rPr>
      </w:pPr>
    </w:p>
    <w:p w14:paraId="3FC4785B">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color w:val="auto"/>
          <w:sz w:val="44"/>
          <w:szCs w:val="44"/>
        </w:rPr>
      </w:pPr>
    </w:p>
    <w:p w14:paraId="651E52DA">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color w:val="auto"/>
          <w:sz w:val="44"/>
          <w:szCs w:val="44"/>
        </w:rPr>
      </w:pPr>
    </w:p>
    <w:p w14:paraId="7D7EA2AD">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color w:val="auto"/>
          <w:sz w:val="44"/>
          <w:szCs w:val="44"/>
        </w:rPr>
      </w:pPr>
      <w:r>
        <w:rPr>
          <w:rFonts w:hint="eastAsia" w:ascii="方正小标宋简体" w:hAnsi="方正小标宋简体" w:eastAsia="方正小标宋简体" w:cs="方正小标宋简体"/>
          <w:color w:val="auto"/>
          <w:sz w:val="44"/>
          <w:szCs w:val="44"/>
        </w:rPr>
        <w:t>第四部分  名词解释</w:t>
      </w:r>
      <w:bookmarkEnd w:id="113"/>
      <w:bookmarkEnd w:id="114"/>
      <w:bookmarkEnd w:id="115"/>
      <w:bookmarkEnd w:id="116"/>
      <w:bookmarkEnd w:id="117"/>
      <w:bookmarkEnd w:id="118"/>
    </w:p>
    <w:p w14:paraId="20DF7197">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黑体" w:hAnsi="ˎ̥" w:eastAsia="黑体"/>
          <w:color w:val="auto"/>
          <w:sz w:val="32"/>
          <w:szCs w:val="32"/>
        </w:rPr>
      </w:pPr>
    </w:p>
    <w:p w14:paraId="70B2D6DD">
      <w:pPr>
        <w:keepNext w:val="0"/>
        <w:keepLines w:val="0"/>
        <w:pageBreakBefore w:val="0"/>
        <w:widowControl w:val="0"/>
        <w:numPr>
          <w:ilvl w:val="0"/>
          <w:numId w:val="1"/>
        </w:numPr>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财政拨款收入：</w:t>
      </w:r>
      <w:r>
        <w:rPr>
          <w:rFonts w:hint="eastAsia" w:ascii="仿宋_GB2312" w:hAnsi="ˎ̥" w:eastAsia="仿宋_GB2312"/>
          <w:color w:val="auto"/>
          <w:sz w:val="32"/>
          <w:szCs w:val="32"/>
        </w:rPr>
        <w:t>指同级政府财政部门当年拨付的各类财政拨款。</w:t>
      </w:r>
    </w:p>
    <w:p w14:paraId="7CB0110B">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二、上级补助收入：</w:t>
      </w:r>
      <w:r>
        <w:rPr>
          <w:rFonts w:hint="eastAsia" w:ascii="仿宋_GB2312" w:hAnsi="ˎ̥" w:eastAsia="仿宋_GB2312"/>
          <w:color w:val="auto"/>
          <w:sz w:val="32"/>
          <w:szCs w:val="32"/>
        </w:rPr>
        <w:t>指事业单位从主管部门和上级单位取得的非财政补助收入。</w:t>
      </w:r>
    </w:p>
    <w:p w14:paraId="615F44C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三、事业收入：</w:t>
      </w:r>
      <w:r>
        <w:rPr>
          <w:rFonts w:hint="eastAsia" w:ascii="仿宋_GB2312" w:hAnsi="ˎ̥" w:eastAsia="仿宋_GB2312"/>
          <w:color w:val="auto"/>
          <w:sz w:val="32"/>
          <w:szCs w:val="32"/>
        </w:rPr>
        <w:t>指事业单位开展专业业务活动及辅助活动取得的收入。</w:t>
      </w:r>
    </w:p>
    <w:p w14:paraId="2DDD1A16">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四、经营收入：</w:t>
      </w:r>
      <w:r>
        <w:rPr>
          <w:rFonts w:hint="eastAsia" w:ascii="仿宋_GB2312" w:hAnsi="ˎ̥" w:eastAsia="仿宋_GB2312"/>
          <w:color w:val="auto"/>
          <w:sz w:val="32"/>
          <w:szCs w:val="32"/>
        </w:rPr>
        <w:t>指事业单位在专业业务活动及其辅助活动之外开展非独立核算经营活动取得的收入。</w:t>
      </w:r>
    </w:p>
    <w:p w14:paraId="1C1D4A3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五、附属单位上缴收入</w:t>
      </w:r>
      <w:r>
        <w:rPr>
          <w:rFonts w:hint="eastAsia" w:ascii="仿宋_GB2312" w:hAnsi="ˎ̥" w:eastAsia="仿宋_GB2312"/>
          <w:color w:val="auto"/>
          <w:sz w:val="32"/>
          <w:szCs w:val="32"/>
        </w:rPr>
        <w:t>：指事业单位取得附属独立核算单位根据有关规定上缴的收入。</w:t>
      </w:r>
    </w:p>
    <w:p w14:paraId="2FC801B4">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六、其他收入：</w:t>
      </w:r>
      <w:r>
        <w:rPr>
          <w:rFonts w:hint="eastAsia" w:ascii="仿宋_GB2312" w:hAnsi="ˎ̥" w:eastAsia="仿宋_GB2312"/>
          <w:color w:val="auto"/>
          <w:sz w:val="32"/>
          <w:szCs w:val="32"/>
        </w:rPr>
        <w:t>指除上述“财政拨款收入”“事业收入”“上级补助收入”“经营收入”“附属单位上缴收入”等以外的收入。</w:t>
      </w:r>
    </w:p>
    <w:p w14:paraId="742CA95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七、使用非财政拨款结余：</w:t>
      </w:r>
      <w:r>
        <w:rPr>
          <w:rFonts w:hint="eastAsia" w:ascii="仿宋_GB2312" w:hAnsi="ˎ̥" w:eastAsia="仿宋_GB2312"/>
          <w:color w:val="auto"/>
          <w:sz w:val="32"/>
          <w:szCs w:val="32"/>
        </w:rPr>
        <w:t>指事业单位在当年的“财政拨款收入”“事业收入”“经营收入”“其他收入”等不足以安排当年支出的情况下，使用非同级财政拨款结余资金弥补本年度收支缺口。</w:t>
      </w:r>
    </w:p>
    <w:p w14:paraId="28F678F7">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八、年初结转和结余：</w:t>
      </w:r>
      <w:r>
        <w:rPr>
          <w:rFonts w:hint="eastAsia" w:ascii="仿宋_GB2312" w:hAnsi="ˎ̥" w:eastAsia="仿宋_GB2312"/>
          <w:color w:val="auto"/>
          <w:sz w:val="32"/>
          <w:szCs w:val="32"/>
        </w:rPr>
        <w:t>指以前年度尚未完成、结转到本年按有关规定继续使用的资金，或项目已完成等产生的结余资金。</w:t>
      </w:r>
    </w:p>
    <w:p w14:paraId="532391EE">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九、结余分配：</w:t>
      </w:r>
      <w:r>
        <w:rPr>
          <w:rFonts w:hint="eastAsia" w:ascii="仿宋_GB2312" w:hAnsi="ˎ̥" w:eastAsia="仿宋_GB2312"/>
          <w:color w:val="auto"/>
          <w:sz w:val="32"/>
          <w:szCs w:val="32"/>
        </w:rPr>
        <w:t>指事业单位缴纳企业所得税以及从非财政拨款结余或经营结余中提取各类结余的情况。</w:t>
      </w:r>
    </w:p>
    <w:p w14:paraId="63B3F8D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十、年末结转和结余：</w:t>
      </w:r>
      <w:r>
        <w:rPr>
          <w:rFonts w:hint="eastAsia" w:ascii="仿宋_GB2312" w:hAnsi="ˎ̥" w:eastAsia="仿宋_GB2312"/>
          <w:color w:val="auto"/>
          <w:sz w:val="32"/>
          <w:szCs w:val="32"/>
        </w:rPr>
        <w:t>指本年度或以前年度预算安排、因客观条件发生变化无法按原计划实施，需要延迟到以后年度按有关规定继续使用的资金（不包括事业单位非财政拨款结余和专用结余）。</w:t>
      </w:r>
    </w:p>
    <w:p w14:paraId="02367459">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十一、基本支出：</w:t>
      </w:r>
      <w:r>
        <w:rPr>
          <w:rFonts w:hint="eastAsia" w:ascii="仿宋_GB2312" w:hAnsi="ˎ̥" w:eastAsia="仿宋_GB2312"/>
          <w:color w:val="auto"/>
          <w:sz w:val="32"/>
          <w:szCs w:val="32"/>
        </w:rPr>
        <w:t>指为保障机构正常运转、完成日常工作任务而发生的人员支出和公用支出。</w:t>
      </w:r>
    </w:p>
    <w:p w14:paraId="72D5145F">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十二、项目支出：</w:t>
      </w:r>
      <w:r>
        <w:rPr>
          <w:rFonts w:hint="eastAsia" w:ascii="仿宋_GB2312" w:hAnsi="ˎ̥" w:eastAsia="仿宋_GB2312"/>
          <w:color w:val="auto"/>
          <w:sz w:val="32"/>
          <w:szCs w:val="32"/>
        </w:rPr>
        <w:t>指在基本支出之外为完成特定行政任务和事业发展目标所发生的支出。</w:t>
      </w:r>
    </w:p>
    <w:p w14:paraId="7314EBA0">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十三、经营支出：</w:t>
      </w:r>
      <w:r>
        <w:rPr>
          <w:rFonts w:hint="eastAsia" w:ascii="仿宋_GB2312" w:hAnsi="ˎ̥" w:eastAsia="仿宋_GB2312"/>
          <w:color w:val="auto"/>
          <w:sz w:val="32"/>
          <w:szCs w:val="32"/>
        </w:rPr>
        <w:t>指事业单位在专业业务活动及其辅助活动之外开展非独立核算经营活动发生的支出。</w:t>
      </w:r>
    </w:p>
    <w:p w14:paraId="1ACBFEC8">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ˎ̥" w:eastAsia="仿宋_GB2312"/>
          <w:color w:val="auto"/>
          <w:sz w:val="32"/>
          <w:szCs w:val="32"/>
        </w:rPr>
      </w:pPr>
      <w:r>
        <w:rPr>
          <w:rFonts w:hint="eastAsia" w:ascii="方正黑体简体" w:hAnsi="方正黑体简体" w:eastAsia="方正黑体简体" w:cs="方正黑体简体"/>
          <w:color w:val="auto"/>
          <w:sz w:val="32"/>
          <w:szCs w:val="32"/>
        </w:rPr>
        <w:t>十四、“三公”经费：</w:t>
      </w:r>
      <w:r>
        <w:rPr>
          <w:rFonts w:hint="eastAsia" w:ascii="仿宋_GB2312" w:hAnsi="ˎ̥" w:eastAsia="仿宋_GB2312"/>
          <w:color w:val="auto"/>
          <w:sz w:val="32"/>
          <w:szCs w:val="32"/>
        </w:rPr>
        <w:t>纳入本级财政预决算管理的“三公”经费，是指用一般公共预算财政拨款、政府性基金预算财政拨款及国有资本经营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维修费、过路过桥费、保险费、安全奖励费用等支出；公务接待费反映单位按规定开支的各类公务接待（含外宾接待）费用。</w:t>
      </w:r>
    </w:p>
    <w:p w14:paraId="101C4972">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仿宋_GB2312" w:hAnsi="ˎ̥" w:eastAsia="仿宋_GB2312"/>
          <w:color w:val="auto"/>
          <w:sz w:val="32"/>
          <w:szCs w:val="32"/>
        </w:rPr>
      </w:pPr>
      <w:r>
        <w:rPr>
          <w:rFonts w:hint="eastAsia" w:ascii="仿宋_GB2312" w:hAnsi="ˎ̥" w:eastAsia="仿宋_GB2312"/>
          <w:color w:val="auto"/>
          <w:sz w:val="32"/>
          <w:szCs w:val="32"/>
        </w:rPr>
        <w:t>十五、机关运行经费：为保障行政单位（含参照公务员法管理的事业单位）运行使用一般公共预算财政拨款安排的基本支出经费用于购买货物和服务的各项资金，包括办公及印刷费、邮电费、差旅费、会议费、福利费、日常维修费、专用材料及一般设备购置费、办公用房水电费、办公用房取暖费、办公用房物业管理费、公务用车运行维护费以及其他费用等。</w:t>
      </w:r>
    </w:p>
    <w:p w14:paraId="58E9525B">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eastAsia" w:ascii="方正黑体简体" w:hAnsi="方正黑体简体" w:eastAsia="方正黑体简体" w:cs="方正黑体简体"/>
          <w:color w:val="auto"/>
          <w:sz w:val="32"/>
          <w:szCs w:val="32"/>
        </w:rPr>
      </w:pPr>
      <w:r>
        <w:rPr>
          <w:rFonts w:hint="eastAsia" w:ascii="方正黑体简体" w:hAnsi="方正黑体简体" w:eastAsia="方正黑体简体" w:cs="方正黑体简体"/>
          <w:color w:val="auto"/>
          <w:sz w:val="32"/>
          <w:szCs w:val="32"/>
        </w:rPr>
        <w:t>十六、支出功能分类：</w:t>
      </w:r>
    </w:p>
    <w:p w14:paraId="7DE82BE3">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ascii="仿宋_GB2312" w:hAnsi="ˎ̥" w:eastAsia="仿宋_GB2312"/>
          <w:color w:val="auto"/>
          <w:sz w:val="32"/>
          <w:szCs w:val="32"/>
        </w:rPr>
      </w:pPr>
      <w:r>
        <w:rPr>
          <w:rFonts w:hint="eastAsia" w:ascii="仿宋_GB2312" w:hAnsi="ˎ̥" w:eastAsia="仿宋_GB2312"/>
          <w:color w:val="auto"/>
          <w:sz w:val="32"/>
          <w:szCs w:val="32"/>
        </w:rPr>
        <w:t>XXXX</w:t>
      </w:r>
      <w:r>
        <w:rPr>
          <w:rFonts w:hint="eastAsia" w:ascii="仿宋_GB2312" w:hAnsi="ˎ̥" w:eastAsia="仿宋_GB2312"/>
          <w:color w:val="auto"/>
          <w:sz w:val="32"/>
          <w:szCs w:val="32"/>
        </w:rPr>
        <w:t>（类）</w:t>
      </w:r>
      <w:r>
        <w:rPr>
          <w:rFonts w:hint="eastAsia" w:ascii="仿宋_GB2312" w:hAnsi="ˎ̥" w:eastAsia="仿宋_GB2312"/>
          <w:color w:val="auto"/>
          <w:sz w:val="32"/>
          <w:szCs w:val="32"/>
        </w:rPr>
        <w:t>XXXX</w:t>
      </w:r>
      <w:r>
        <w:rPr>
          <w:rFonts w:hint="eastAsia" w:ascii="仿宋_GB2312" w:hAnsi="ˎ̥" w:eastAsia="仿宋_GB2312"/>
          <w:color w:val="auto"/>
          <w:sz w:val="32"/>
          <w:szCs w:val="32"/>
        </w:rPr>
        <w:t>（款）</w:t>
      </w:r>
      <w:r>
        <w:rPr>
          <w:rFonts w:hint="eastAsia" w:ascii="仿宋_GB2312" w:hAnsi="ˎ̥" w:eastAsia="仿宋_GB2312"/>
          <w:color w:val="auto"/>
          <w:sz w:val="32"/>
          <w:szCs w:val="32"/>
        </w:rPr>
        <w:t>XXXX</w:t>
      </w:r>
      <w:r>
        <w:rPr>
          <w:rFonts w:hint="eastAsia" w:ascii="仿宋_GB2312" w:hAnsi="ˎ̥" w:eastAsia="仿宋_GB2312"/>
          <w:color w:val="auto"/>
          <w:sz w:val="32"/>
          <w:szCs w:val="32"/>
        </w:rPr>
        <w:t>（项），</w:t>
      </w:r>
      <w:r>
        <w:rPr>
          <w:rFonts w:ascii="仿宋_GB2312" w:hAnsi="ˎ̥" w:eastAsia="仿宋_GB2312"/>
          <w:color w:val="auto"/>
          <w:sz w:val="32"/>
          <w:szCs w:val="32"/>
        </w:rPr>
        <w:t>……</w:t>
      </w:r>
      <w:r>
        <w:rPr>
          <w:rFonts w:hint="eastAsia" w:ascii="仿宋_GB2312" w:hAnsi="ˎ̥" w:eastAsia="仿宋_GB2312"/>
          <w:color w:val="auto"/>
          <w:sz w:val="32"/>
          <w:szCs w:val="32"/>
        </w:rPr>
        <w:t>；</w:t>
      </w:r>
    </w:p>
    <w:p w14:paraId="7B40D618">
      <w:pPr>
        <w:keepNext w:val="0"/>
        <w:keepLines w:val="0"/>
        <w:pageBreakBefore w:val="0"/>
        <w:widowControl w:val="0"/>
        <w:kinsoku/>
        <w:wordWrap/>
        <w:overflowPunct/>
        <w:topLinePunct w:val="0"/>
        <w:autoSpaceDE/>
        <w:autoSpaceDN/>
        <w:bidi w:val="0"/>
        <w:adjustRightInd/>
        <w:snapToGrid/>
        <w:spacing w:line="578" w:lineRule="exact"/>
        <w:ind w:firstLine="645"/>
        <w:textAlignment w:val="auto"/>
        <w:rPr>
          <w:rFonts w:hint="default" w:ascii="仿宋_GB2312" w:hAnsi="ˎ̥" w:eastAsia="仿宋_GB2312"/>
          <w:color w:val="auto"/>
          <w:sz w:val="32"/>
          <w:szCs w:val="32"/>
          <w:lang w:val="en-US" w:eastAsia="zh-CN"/>
        </w:rPr>
      </w:pPr>
      <w:r>
        <w:rPr>
          <w:rFonts w:hint="eastAsia" w:ascii="仿宋_GB2312" w:hAnsi="ˎ̥" w:eastAsia="仿宋_GB2312"/>
          <w:color w:val="auto"/>
          <w:sz w:val="32"/>
          <w:szCs w:val="32"/>
        </w:rPr>
        <w:t>XXXX</w:t>
      </w:r>
      <w:r>
        <w:rPr>
          <w:rFonts w:hint="eastAsia" w:ascii="仿宋_GB2312" w:hAnsi="ˎ̥" w:eastAsia="仿宋_GB2312"/>
          <w:color w:val="auto"/>
          <w:sz w:val="32"/>
          <w:szCs w:val="32"/>
        </w:rPr>
        <w:t>（类）</w:t>
      </w:r>
      <w:r>
        <w:rPr>
          <w:rFonts w:hint="eastAsia" w:ascii="仿宋_GB2312" w:hAnsi="ˎ̥" w:eastAsia="仿宋_GB2312"/>
          <w:color w:val="auto"/>
          <w:sz w:val="32"/>
          <w:szCs w:val="32"/>
        </w:rPr>
        <w:t>XXXX</w:t>
      </w:r>
      <w:r>
        <w:rPr>
          <w:rFonts w:hint="eastAsia" w:ascii="仿宋_GB2312" w:hAnsi="ˎ̥" w:eastAsia="仿宋_GB2312"/>
          <w:color w:val="auto"/>
          <w:sz w:val="32"/>
          <w:szCs w:val="32"/>
        </w:rPr>
        <w:t>（款）</w:t>
      </w:r>
      <w:r>
        <w:rPr>
          <w:rFonts w:hint="eastAsia" w:ascii="仿宋_GB2312" w:hAnsi="ˎ̥" w:eastAsia="仿宋_GB2312"/>
          <w:color w:val="auto"/>
          <w:sz w:val="32"/>
          <w:szCs w:val="32"/>
        </w:rPr>
        <w:t>XXXX</w:t>
      </w:r>
      <w:r>
        <w:rPr>
          <w:rFonts w:hint="eastAsia" w:ascii="仿宋_GB2312" w:hAnsi="ˎ̥" w:eastAsia="仿宋_GB2312"/>
          <w:color w:val="auto"/>
          <w:sz w:val="32"/>
          <w:szCs w:val="32"/>
        </w:rPr>
        <w:t>（项），</w:t>
      </w:r>
      <w:r>
        <w:rPr>
          <w:rFonts w:ascii="仿宋_GB2312" w:hAnsi="ˎ̥" w:eastAsia="仿宋_GB2312"/>
          <w:color w:val="auto"/>
          <w:sz w:val="32"/>
          <w:szCs w:val="32"/>
        </w:rPr>
        <w:t>……</w:t>
      </w:r>
      <w:r>
        <w:rPr>
          <w:rFonts w:hint="eastAsia" w:ascii="仿宋_GB2312" w:hAnsi="ˎ̥" w:eastAsia="仿宋_GB2312"/>
          <w:color w:val="auto"/>
          <w:sz w:val="32"/>
          <w:szCs w:val="32"/>
          <w:lang w:eastAsia="zh-CN"/>
        </w:rPr>
        <w:t>。</w:t>
      </w:r>
    </w:p>
    <w:p w14:paraId="419A08C7">
      <w:pPr>
        <w:keepNext w:val="0"/>
        <w:keepLines w:val="0"/>
        <w:pageBreakBefore w:val="0"/>
        <w:widowControl w:val="0"/>
        <w:kinsoku/>
        <w:wordWrap/>
        <w:overflowPunct/>
        <w:topLinePunct w:val="0"/>
        <w:autoSpaceDE/>
        <w:autoSpaceDN/>
        <w:bidi w:val="0"/>
        <w:adjustRightInd/>
        <w:snapToGrid/>
        <w:spacing w:line="578" w:lineRule="exact"/>
        <w:textAlignment w:val="auto"/>
        <w:rPr>
          <w:color w:val="auto"/>
        </w:rPr>
      </w:pPr>
      <w:r>
        <w:rPr>
          <w:rFonts w:hint="eastAsia" w:ascii="仿宋_GB2312" w:hAnsi="ˎ̥" w:eastAsia="仿宋_GB2312"/>
          <w:color w:val="auto"/>
          <w:sz w:val="32"/>
          <w:szCs w:val="32"/>
        </w:rPr>
        <w:t>（注</w:t>
      </w:r>
      <w:r>
        <w:rPr>
          <w:rFonts w:ascii="仿宋_GB2312" w:hAnsi="ˎ̥" w:eastAsia="仿宋_GB2312"/>
          <w:color w:val="auto"/>
          <w:sz w:val="32"/>
          <w:szCs w:val="32"/>
        </w:rPr>
        <w:t>：</w:t>
      </w:r>
      <w:r>
        <w:rPr>
          <w:rFonts w:hint="eastAsia" w:ascii="仿宋_GB2312" w:hAnsi="ˎ̥" w:eastAsia="仿宋_GB2312"/>
          <w:color w:val="auto"/>
          <w:sz w:val="32"/>
          <w:szCs w:val="32"/>
        </w:rPr>
        <w:t>支出功能分类的名词解释，各</w:t>
      </w:r>
      <w:r>
        <w:rPr>
          <w:rFonts w:hint="eastAsia" w:ascii="仿宋_GB2312" w:hAnsi="ˎ̥" w:eastAsia="仿宋_GB2312"/>
          <w:color w:val="auto"/>
          <w:sz w:val="32"/>
          <w:szCs w:val="32"/>
          <w:lang w:val="en-US" w:eastAsia="zh-CN"/>
        </w:rPr>
        <w:t>预算</w:t>
      </w:r>
      <w:r>
        <w:rPr>
          <w:rFonts w:hint="eastAsia" w:ascii="仿宋_GB2312" w:hAnsi="ˎ̥" w:eastAsia="仿宋_GB2312"/>
          <w:color w:val="auto"/>
          <w:sz w:val="32"/>
          <w:szCs w:val="32"/>
        </w:rPr>
        <w:t>部门</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rPr>
        <w:t>单位根据实际支出情况填列，可参阅财政部印发的《</w:t>
      </w:r>
      <w:r>
        <w:rPr>
          <w:rFonts w:hint="default" w:ascii="仿宋_GB2312" w:hAnsi="ˎ̥" w:eastAsia="仿宋_GB2312"/>
          <w:color w:val="auto"/>
          <w:sz w:val="32"/>
          <w:szCs w:val="32"/>
          <w:lang w:val="en-US"/>
        </w:rPr>
        <w:t>2025</w:t>
      </w:r>
      <w:r>
        <w:rPr>
          <w:rFonts w:hint="eastAsia" w:ascii="仿宋_GB2312" w:hAnsi="ˎ̥" w:eastAsia="仿宋_GB2312"/>
          <w:color w:val="auto"/>
          <w:sz w:val="32"/>
          <w:szCs w:val="32"/>
        </w:rPr>
        <w:t>年政府收支分类科目》</w:t>
      </w:r>
      <w:r>
        <w:rPr>
          <w:rFonts w:hint="eastAsia" w:ascii="仿宋_GB2312" w:hAnsi="ˎ̥" w:eastAsia="仿宋_GB2312"/>
          <w:color w:val="auto"/>
          <w:sz w:val="32"/>
          <w:szCs w:val="32"/>
          <w:lang w:eastAsia="zh-CN"/>
        </w:rPr>
        <w:t>。</w:t>
      </w:r>
      <w:r>
        <w:rPr>
          <w:rFonts w:hint="eastAsia" w:ascii="仿宋_GB2312" w:hAnsi="ˎ̥" w:eastAsia="仿宋_GB2312"/>
          <w:color w:val="auto"/>
          <w:sz w:val="32"/>
          <w:szCs w:val="32"/>
        </w:rPr>
        <w:t>）</w:t>
      </w:r>
    </w:p>
    <w:sectPr>
      <w:footerReference r:id="rId3" w:type="default"/>
      <w:footerReference r:id="rId4" w:type="even"/>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KSOFF21A05E0">
    <w:panose1 w:val="020B0503020204020204"/>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 w:name="方正楷体简体">
    <w:panose1 w:val="03000509000000000000"/>
    <w:charset w:val="86"/>
    <w:family w:val="script"/>
    <w:pitch w:val="default"/>
    <w:sig w:usb0="00000001" w:usb1="080E0000" w:usb2="00000000" w:usb3="00000000" w:csb0="00040000" w:csb1="00000000"/>
  </w:font>
  <w:font w:name="方正仿宋简体">
    <w:panose1 w:val="02000000000000000000"/>
    <w:charset w:val="86"/>
    <w:family w:val="script"/>
    <w:pitch w:val="default"/>
    <w:sig w:usb0="A00002BF" w:usb1="184F6CFA" w:usb2="00000012" w:usb3="00000000" w:csb0="00040001" w:csb1="00000000"/>
  </w:font>
  <w:font w:name="方正小标宋简体">
    <w:panose1 w:val="03000509000000000000"/>
    <w:charset w:val="86"/>
    <w:family w:val="auto"/>
    <w:pitch w:val="default"/>
    <w:sig w:usb0="00000001" w:usb1="080E0000" w:usb2="00000000" w:usb3="00000000" w:csb0="00040000" w:csb1="00000000"/>
  </w:font>
  <w:font w:name="方正大黑简体">
    <w:panose1 w:val="03000509000000000000"/>
    <w:charset w:val="86"/>
    <w:family w:val="auto"/>
    <w:pitch w:val="default"/>
    <w:sig w:usb0="00000001" w:usb1="080E0000" w:usb2="00000000" w:usb3="00000000" w:csb0="00040000" w:csb1="00000000"/>
  </w:font>
  <w:font w:name="方正黑体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29E08A">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18</w:t>
    </w:r>
    <w:r>
      <w:fldChar w:fldCharType="end"/>
    </w:r>
  </w:p>
  <w:p w14:paraId="1BD1ED87">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76F60F">
    <w:pPr>
      <w:pStyle w:val="4"/>
      <w:framePr w:wrap="around" w:vAnchor="text" w:hAnchor="margin" w:xAlign="center" w:y="1"/>
      <w:rPr>
        <w:rStyle w:val="9"/>
      </w:rPr>
    </w:pPr>
    <w:r>
      <w:fldChar w:fldCharType="begin"/>
    </w:r>
    <w:r>
      <w:rPr>
        <w:rStyle w:val="9"/>
      </w:rPr>
      <w:instrText xml:space="preserve">PAGE  </w:instrText>
    </w:r>
    <w:r>
      <w:fldChar w:fldCharType="separate"/>
    </w:r>
    <w:r>
      <w:fldChar w:fldCharType="end"/>
    </w:r>
  </w:p>
  <w:p w14:paraId="07FD915D">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FC2DCC"/>
    <w:multiLevelType w:val="singleLevel"/>
    <w:tmpl w:val="AFFC2DCC"/>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lZThlZDk5ZTQ4MTFjNGY3MjIxNTdiOWMzZmQwMWMifQ=="/>
  </w:docVars>
  <w:rsids>
    <w:rsidRoot w:val="A7F73C99"/>
    <w:rsid w:val="00064A91"/>
    <w:rsid w:val="000718C4"/>
    <w:rsid w:val="000779B0"/>
    <w:rsid w:val="001E4E23"/>
    <w:rsid w:val="001E510D"/>
    <w:rsid w:val="001F28C1"/>
    <w:rsid w:val="001F4EC0"/>
    <w:rsid w:val="00213789"/>
    <w:rsid w:val="002A6E07"/>
    <w:rsid w:val="0034456B"/>
    <w:rsid w:val="003D2F77"/>
    <w:rsid w:val="004C755C"/>
    <w:rsid w:val="004D515A"/>
    <w:rsid w:val="004D5572"/>
    <w:rsid w:val="0050273F"/>
    <w:rsid w:val="00513897"/>
    <w:rsid w:val="00530C81"/>
    <w:rsid w:val="005C43A2"/>
    <w:rsid w:val="005E64FB"/>
    <w:rsid w:val="005F5987"/>
    <w:rsid w:val="00602EED"/>
    <w:rsid w:val="006B0D64"/>
    <w:rsid w:val="00731FC7"/>
    <w:rsid w:val="00740E64"/>
    <w:rsid w:val="00754F6E"/>
    <w:rsid w:val="007A4101"/>
    <w:rsid w:val="008232A9"/>
    <w:rsid w:val="00896ADB"/>
    <w:rsid w:val="009A2744"/>
    <w:rsid w:val="00A54A37"/>
    <w:rsid w:val="00A70448"/>
    <w:rsid w:val="00AA19F3"/>
    <w:rsid w:val="00AC28EE"/>
    <w:rsid w:val="00AC3F0E"/>
    <w:rsid w:val="00B36E61"/>
    <w:rsid w:val="00B409FF"/>
    <w:rsid w:val="00B4133E"/>
    <w:rsid w:val="00B54DE8"/>
    <w:rsid w:val="00B63E9E"/>
    <w:rsid w:val="00BC0439"/>
    <w:rsid w:val="00C04C21"/>
    <w:rsid w:val="00C7436A"/>
    <w:rsid w:val="00CA0F14"/>
    <w:rsid w:val="00CA536B"/>
    <w:rsid w:val="00CB0D1E"/>
    <w:rsid w:val="00CD6E49"/>
    <w:rsid w:val="00CD794A"/>
    <w:rsid w:val="00DB612B"/>
    <w:rsid w:val="00DC2A37"/>
    <w:rsid w:val="00E07782"/>
    <w:rsid w:val="00E70EA3"/>
    <w:rsid w:val="00F0336A"/>
    <w:rsid w:val="00F06DA9"/>
    <w:rsid w:val="00F103D6"/>
    <w:rsid w:val="00F25220"/>
    <w:rsid w:val="00FA2884"/>
    <w:rsid w:val="00FC03DC"/>
    <w:rsid w:val="00FC5708"/>
    <w:rsid w:val="0780023B"/>
    <w:rsid w:val="09201287"/>
    <w:rsid w:val="0FC80124"/>
    <w:rsid w:val="136F98C7"/>
    <w:rsid w:val="17427E68"/>
    <w:rsid w:val="1755065F"/>
    <w:rsid w:val="1AFC29C9"/>
    <w:rsid w:val="1CA52F2E"/>
    <w:rsid w:val="1DFE370B"/>
    <w:rsid w:val="1E3630B9"/>
    <w:rsid w:val="24024244"/>
    <w:rsid w:val="26EEC2B5"/>
    <w:rsid w:val="29472309"/>
    <w:rsid w:val="2B406E77"/>
    <w:rsid w:val="2C2A0C43"/>
    <w:rsid w:val="2D1E73A5"/>
    <w:rsid w:val="2FFC5597"/>
    <w:rsid w:val="32717154"/>
    <w:rsid w:val="335334BF"/>
    <w:rsid w:val="34B63260"/>
    <w:rsid w:val="37FDA7E2"/>
    <w:rsid w:val="387A21E5"/>
    <w:rsid w:val="3A314D88"/>
    <w:rsid w:val="3A746883"/>
    <w:rsid w:val="3CA15DE9"/>
    <w:rsid w:val="3D26426F"/>
    <w:rsid w:val="3E3F4F05"/>
    <w:rsid w:val="3FE61EE5"/>
    <w:rsid w:val="406508EE"/>
    <w:rsid w:val="408D6263"/>
    <w:rsid w:val="41B40CEE"/>
    <w:rsid w:val="45B222C8"/>
    <w:rsid w:val="48317291"/>
    <w:rsid w:val="485F7024"/>
    <w:rsid w:val="48E70666"/>
    <w:rsid w:val="4C6877E5"/>
    <w:rsid w:val="4D582F63"/>
    <w:rsid w:val="4D6A468D"/>
    <w:rsid w:val="4EA86137"/>
    <w:rsid w:val="56CA7FD0"/>
    <w:rsid w:val="57FA38D1"/>
    <w:rsid w:val="5ACD2D08"/>
    <w:rsid w:val="5F7D3333"/>
    <w:rsid w:val="61385890"/>
    <w:rsid w:val="61A06488"/>
    <w:rsid w:val="668D2269"/>
    <w:rsid w:val="687436E1"/>
    <w:rsid w:val="6D7E1DC5"/>
    <w:rsid w:val="6DA45C50"/>
    <w:rsid w:val="6E9A7825"/>
    <w:rsid w:val="6F670F9B"/>
    <w:rsid w:val="737450E0"/>
    <w:rsid w:val="74054476"/>
    <w:rsid w:val="742F38C4"/>
    <w:rsid w:val="74AB66DC"/>
    <w:rsid w:val="74C4154C"/>
    <w:rsid w:val="75956FFF"/>
    <w:rsid w:val="77AA2D01"/>
    <w:rsid w:val="7CDE1DBD"/>
    <w:rsid w:val="7D943A85"/>
    <w:rsid w:val="7DB0448C"/>
    <w:rsid w:val="7E5F9AA4"/>
    <w:rsid w:val="8FFC8888"/>
    <w:rsid w:val="A7F73C99"/>
    <w:rsid w:val="BFFE3BF4"/>
    <w:rsid w:val="DFEBDA37"/>
    <w:rsid w:val="EF6FCA1D"/>
    <w:rsid w:val="EFFF57D6"/>
    <w:rsid w:val="FD33A2D0"/>
    <w:rsid w:val="FF7FA20F"/>
    <w:rsid w:val="FFFE81A3"/>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link w:val="11"/>
    <w:qFormat/>
    <w:uiPriority w:val="0"/>
    <w:pPr>
      <w:jc w:val="left"/>
    </w:pPr>
  </w:style>
  <w:style w:type="paragraph" w:styleId="3">
    <w:name w:val="Balloon Text"/>
    <w:basedOn w:val="1"/>
    <w:link w:val="12"/>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4"/>
    <w:qFormat/>
    <w:uiPriority w:val="0"/>
    <w:rPr>
      <w:b/>
      <w:bCs/>
    </w:rPr>
  </w:style>
  <w:style w:type="character" w:styleId="9">
    <w:name w:val="page number"/>
    <w:qFormat/>
    <w:uiPriority w:val="0"/>
  </w:style>
  <w:style w:type="character" w:styleId="10">
    <w:name w:val="annotation reference"/>
    <w:qFormat/>
    <w:uiPriority w:val="0"/>
    <w:rPr>
      <w:sz w:val="21"/>
      <w:szCs w:val="21"/>
    </w:rPr>
  </w:style>
  <w:style w:type="character" w:customStyle="1" w:styleId="11">
    <w:name w:val="批注文字 Char"/>
    <w:link w:val="2"/>
    <w:qFormat/>
    <w:uiPriority w:val="0"/>
    <w:rPr>
      <w:kern w:val="2"/>
      <w:sz w:val="21"/>
      <w:szCs w:val="24"/>
    </w:rPr>
  </w:style>
  <w:style w:type="character" w:customStyle="1" w:styleId="12">
    <w:name w:val="批注框文本 Char"/>
    <w:link w:val="3"/>
    <w:qFormat/>
    <w:uiPriority w:val="0"/>
    <w:rPr>
      <w:kern w:val="2"/>
      <w:sz w:val="18"/>
      <w:szCs w:val="18"/>
    </w:rPr>
  </w:style>
  <w:style w:type="character" w:customStyle="1" w:styleId="13">
    <w:name w:val="页眉 Char"/>
    <w:link w:val="5"/>
    <w:qFormat/>
    <w:uiPriority w:val="0"/>
    <w:rPr>
      <w:kern w:val="2"/>
      <w:sz w:val="18"/>
      <w:szCs w:val="18"/>
    </w:rPr>
  </w:style>
  <w:style w:type="character" w:customStyle="1" w:styleId="14">
    <w:name w:val="批注主题 Char"/>
    <w:link w:val="6"/>
    <w:qFormat/>
    <w:uiPriority w:val="0"/>
    <w:rPr>
      <w:b/>
      <w:bCs/>
      <w:kern w:val="2"/>
      <w:sz w:val="21"/>
      <w:szCs w:val="24"/>
    </w:rPr>
  </w:style>
  <w:style w:type="paragraph" w:customStyle="1" w:styleId="15">
    <w:name w:val="WPSOffice手动目录 1"/>
    <w:qFormat/>
    <w:uiPriority w:val="0"/>
    <w:rPr>
      <w:rFonts w:ascii="Times New Roman" w:hAnsi="Times New Roman" w:eastAsia="宋体" w:cs="Times New Roman"/>
      <w:lang w:val="en-US" w:eastAsia="zh-CN" w:bidi="ar-SA"/>
    </w:rPr>
  </w:style>
  <w:style w:type="paragraph" w:customStyle="1" w:styleId="16">
    <w:name w:val="WPSOffice手动目录 2"/>
    <w:qFormat/>
    <w:uiPriority w:val="0"/>
    <w:pPr>
      <w:ind w:leftChars="200"/>
    </w:pPr>
    <w:rPr>
      <w:rFonts w:ascii="Times New Roman" w:hAnsi="Times New Roman" w:eastAsia="宋体" w:cs="Times New Roman"/>
      <w:lang w:val="en-US" w:eastAsia="zh-CN" w:bidi="ar-SA"/>
    </w:rPr>
  </w:style>
  <w:style w:type="paragraph" w:customStyle="1" w:styleId="17">
    <w:name w:val="正文1 Char Char Char"/>
    <w:basedOn w:val="1"/>
    <w:qFormat/>
    <w:uiPriority w:val="0"/>
    <w:pPr>
      <w:spacing w:line="360" w:lineRule="auto"/>
      <w:ind w:firstLine="20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3539</Words>
  <Characters>4102</Characters>
  <Lines>67</Lines>
  <Paragraphs>18</Paragraphs>
  <TotalTime>49</TotalTime>
  <ScaleCrop>false</ScaleCrop>
  <LinksUpToDate>false</LinksUpToDate>
  <CharactersWithSpaces>4159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2024-07-24T03:26:00Z</dcterms:created>
  <dc:creator>uos</dc:creator>
  <cp:lastModifiedBy>@正在想.....</cp:lastModifiedBy>
  <cp:lastPrinted>2023-08-03T00:58:00Z</cp:lastPrinted>
  <dcterms:modified xsi:type="dcterms:W3CDTF">2026-09-04T07:25:02Z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EDEE2AEA67894A1590C4C73EE8915601_13</vt:lpwstr>
  </property>
  <property fmtid="{D5CDD505-2E9C-101B-9397-08002B2CF9AE}" pid="4" name="KSOTemplateDocerSaveRecord">
    <vt:lpwstr>eyJoZGlkIjoiODgxYjIzYmI3YTY1NjNiMzI0OTJkNGFmZGI0ZGUyMTAiLCJ1c2VySWQiOiI3MTAwNDc4ODcifQ==</vt:lpwstr>
  </property>
</Properties>
</file>