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rPr>
          <w:rFonts w:ascii="仿宋" w:hAnsi="仿宋" w:eastAsia="仿宋"/>
          <w:sz w:val="32"/>
          <w:szCs w:val="32"/>
          <w:u w:val="none"/>
        </w:rPr>
      </w:pPr>
    </w:p>
    <w:p w14:paraId="61EE0615">
      <w:pPr>
        <w:rPr>
          <w:rFonts w:ascii="仿宋" w:hAnsi="仿宋" w:eastAsia="仿宋"/>
          <w:sz w:val="32"/>
          <w:szCs w:val="32"/>
          <w:u w:val="none"/>
        </w:rPr>
      </w:pPr>
    </w:p>
    <w:p w14:paraId="036C44A0">
      <w:pPr>
        <w:jc w:val="center"/>
        <w:rPr>
          <w:rFonts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白嘎乡幼儿园2026</w:t>
      </w:r>
      <w:r>
        <w:rPr>
          <w:rFonts w:hint="eastAsia" w:ascii="方正小标宋简体" w:hAnsi="仿宋" w:eastAsia="方正小标宋简体"/>
          <w:sz w:val="44"/>
          <w:szCs w:val="44"/>
          <w:u w:val="none"/>
        </w:rPr>
        <w:t>年度部门（单位）预算</w:t>
      </w:r>
    </w:p>
    <w:p w14:paraId="6B915E4D">
      <w:pPr>
        <w:rPr>
          <w:rFonts w:ascii="仿宋" w:hAnsi="仿宋" w:eastAsia="仿宋"/>
          <w:sz w:val="32"/>
          <w:szCs w:val="32"/>
          <w:u w:val="none"/>
        </w:rPr>
      </w:pPr>
    </w:p>
    <w:p w14:paraId="7FD4ADBF">
      <w:pPr>
        <w:rPr>
          <w:rFonts w:ascii="仿宋" w:hAnsi="仿宋" w:eastAsia="仿宋"/>
          <w:sz w:val="32"/>
          <w:szCs w:val="32"/>
          <w:u w:val="none"/>
        </w:rPr>
      </w:pPr>
    </w:p>
    <w:p w14:paraId="1D1A6A6E">
      <w:pPr>
        <w:rPr>
          <w:rFonts w:ascii="仿宋" w:hAnsi="仿宋" w:eastAsia="仿宋"/>
          <w:sz w:val="32"/>
          <w:szCs w:val="32"/>
          <w:u w:val="none"/>
        </w:rPr>
      </w:pPr>
    </w:p>
    <w:p w14:paraId="1971C31F">
      <w:pPr>
        <w:rPr>
          <w:rFonts w:ascii="仿宋" w:hAnsi="仿宋" w:eastAsia="仿宋"/>
          <w:sz w:val="32"/>
          <w:szCs w:val="32"/>
          <w:u w:val="none"/>
        </w:rPr>
      </w:pPr>
    </w:p>
    <w:p w14:paraId="3C5748D7">
      <w:pPr>
        <w:rPr>
          <w:rFonts w:ascii="仿宋" w:hAnsi="仿宋" w:eastAsia="仿宋"/>
          <w:sz w:val="32"/>
          <w:szCs w:val="32"/>
          <w:u w:val="none"/>
        </w:rPr>
      </w:pPr>
    </w:p>
    <w:p w14:paraId="7B922C01">
      <w:pPr>
        <w:rPr>
          <w:rFonts w:ascii="仿宋" w:hAnsi="仿宋" w:eastAsia="仿宋"/>
          <w:sz w:val="32"/>
          <w:szCs w:val="32"/>
          <w:u w:val="none"/>
        </w:rPr>
      </w:pPr>
    </w:p>
    <w:p w14:paraId="31AF22A4">
      <w:pPr>
        <w:rPr>
          <w:rFonts w:ascii="仿宋" w:hAnsi="仿宋" w:eastAsia="仿宋"/>
          <w:sz w:val="32"/>
          <w:szCs w:val="32"/>
          <w:u w:val="none"/>
        </w:rPr>
      </w:pPr>
    </w:p>
    <w:p w14:paraId="26D0C638">
      <w:pPr>
        <w:rPr>
          <w:rFonts w:ascii="仿宋" w:hAnsi="仿宋" w:eastAsia="仿宋"/>
          <w:sz w:val="32"/>
          <w:szCs w:val="32"/>
          <w:u w:val="none"/>
        </w:rPr>
      </w:pPr>
    </w:p>
    <w:p w14:paraId="3251279D">
      <w:pPr>
        <w:rPr>
          <w:rFonts w:ascii="仿宋" w:hAnsi="仿宋" w:eastAsia="仿宋"/>
          <w:sz w:val="32"/>
          <w:szCs w:val="32"/>
          <w:u w:val="none"/>
        </w:rPr>
      </w:pPr>
    </w:p>
    <w:p w14:paraId="6E6980A2">
      <w:pPr>
        <w:rPr>
          <w:rFonts w:ascii="仿宋" w:hAnsi="仿宋" w:eastAsia="仿宋"/>
          <w:sz w:val="32"/>
          <w:szCs w:val="32"/>
          <w:u w:val="none"/>
        </w:rPr>
      </w:pPr>
    </w:p>
    <w:p w14:paraId="6078B572">
      <w:pPr>
        <w:rPr>
          <w:rFonts w:ascii="仿宋" w:hAnsi="仿宋" w:eastAsia="仿宋"/>
          <w:sz w:val="32"/>
          <w:szCs w:val="32"/>
          <w:u w:val="none"/>
        </w:rPr>
      </w:pPr>
    </w:p>
    <w:p w14:paraId="6A464FB2">
      <w:pPr>
        <w:rPr>
          <w:rFonts w:ascii="仿宋" w:hAnsi="仿宋" w:eastAsia="仿宋"/>
          <w:sz w:val="32"/>
          <w:szCs w:val="32"/>
          <w:u w:val="none"/>
        </w:rPr>
      </w:pPr>
    </w:p>
    <w:p w14:paraId="1C14F911">
      <w:pPr>
        <w:rPr>
          <w:rFonts w:ascii="仿宋" w:hAnsi="仿宋" w:eastAsia="仿宋"/>
          <w:sz w:val="32"/>
          <w:szCs w:val="32"/>
          <w:u w:val="none"/>
        </w:rPr>
      </w:pPr>
    </w:p>
    <w:p w14:paraId="45B1EDF5">
      <w:pPr>
        <w:rPr>
          <w:rFonts w:ascii="仿宋" w:hAnsi="仿宋" w:eastAsia="仿宋"/>
          <w:sz w:val="32"/>
          <w:szCs w:val="32"/>
          <w:u w:val="none"/>
        </w:rPr>
      </w:pPr>
    </w:p>
    <w:p w14:paraId="292979E3">
      <w:pPr>
        <w:rPr>
          <w:rFonts w:ascii="仿宋" w:hAnsi="仿宋" w:eastAsia="仿宋"/>
          <w:sz w:val="32"/>
          <w:szCs w:val="32"/>
          <w:u w:val="none"/>
        </w:rPr>
      </w:pPr>
    </w:p>
    <w:p w14:paraId="1E1FBF6A">
      <w:pPr>
        <w:spacing w:line="576" w:lineRule="exact"/>
        <w:jc w:val="center"/>
        <w:rPr>
          <w:rFonts w:ascii="方正小标宋简体" w:hAnsi="仿宋" w:eastAsia="方正小标宋简体"/>
          <w:sz w:val="44"/>
          <w:szCs w:val="44"/>
          <w:u w:val="none"/>
        </w:rPr>
      </w:pPr>
      <w:r>
        <w:rPr>
          <w:rFonts w:hint="eastAsia" w:ascii="Times New Roman" w:hAnsi="Times New Roman" w:eastAsia="方正仿宋简体" w:cs="Times New Roman"/>
          <w:sz w:val="32"/>
          <w:szCs w:val="32"/>
          <w:lang w:val="en-US" w:eastAsia="zh-CN"/>
        </w:rPr>
        <w:t>2026年01月31日</w:t>
      </w: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353A7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rPr>
      </w:pPr>
    </w:p>
    <w:p w14:paraId="66E2169F">
      <w:pPr>
        <w:wordWrap/>
        <w:snapToGrid/>
        <w:spacing w:line="576" w:lineRule="exact"/>
        <w:textAlignment w:val="auto"/>
        <w:rPr>
          <w:rFonts w:hint="eastAsia" w:ascii="方正黑体简体" w:hAnsi="方正黑体简体" w:eastAsia="方正黑体简体" w:cs="方正黑体简体"/>
          <w:b w:val="0"/>
          <w:bCs w:val="0"/>
          <w:sz w:val="32"/>
          <w:szCs w:val="32"/>
          <w:lang w:eastAsia="zh-CN" w:bidi="ar-SA"/>
        </w:rPr>
      </w:pPr>
      <w:r>
        <w:rPr>
          <w:rFonts w:hint="eastAsia" w:ascii="方正黑体简体" w:hAnsi="方正黑体简体" w:eastAsia="方正黑体简体" w:cs="方正黑体简体"/>
          <w:b w:val="0"/>
          <w:bCs w:val="0"/>
          <w:sz w:val="32"/>
          <w:szCs w:val="32"/>
          <w:lang w:eastAsia="zh-CN" w:bidi="ar-SA"/>
        </w:rPr>
        <w:t>第一部分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白嘎乡幼儿园概况</w:t>
      </w:r>
    </w:p>
    <w:p w14:paraId="0A8AD1B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一、主要职能</w:t>
      </w:r>
    </w:p>
    <w:p w14:paraId="0A9D22C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二、部门（单位）机构设置情况</w:t>
      </w:r>
    </w:p>
    <w:p w14:paraId="494C8523">
      <w:pPr>
        <w:wordWrap/>
        <w:snapToGrid/>
        <w:spacing w:line="576" w:lineRule="exact"/>
        <w:textAlignment w:val="auto"/>
        <w:rPr>
          <w:rFonts w:hint="eastAsia" w:ascii="方正黑体简体" w:hAnsi="方正黑体简体" w:eastAsia="方正黑体简体" w:cs="方正黑体简体"/>
          <w:b w:val="0"/>
          <w:bCs w:val="0"/>
          <w:sz w:val="32"/>
          <w:szCs w:val="32"/>
          <w:lang w:eastAsia="zh-CN" w:bidi="ar-SA"/>
        </w:rPr>
      </w:pPr>
      <w:r>
        <w:rPr>
          <w:rFonts w:hint="eastAsia" w:ascii="方正黑体简体" w:hAnsi="方正黑体简体" w:eastAsia="方正黑体简体" w:cs="方正黑体简体"/>
          <w:b w:val="0"/>
          <w:bCs w:val="0"/>
          <w:sz w:val="32"/>
          <w:szCs w:val="32"/>
          <w:lang w:eastAsia="zh-CN" w:bidi="ar-SA"/>
        </w:rPr>
        <w:t>第二部分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白嘎乡幼儿园预算明细表</w:t>
      </w:r>
    </w:p>
    <w:p w14:paraId="179C5CD2">
      <w:pPr>
        <w:wordWrap/>
        <w:snapToGrid/>
        <w:spacing w:line="576" w:lineRule="exact"/>
        <w:textAlignment w:val="auto"/>
        <w:rPr>
          <w:rFonts w:hint="eastAsia" w:ascii="方正黑体简体" w:hAnsi="方正黑体简体" w:eastAsia="方正黑体简体" w:cs="方正黑体简体"/>
          <w:b w:val="0"/>
          <w:bCs w:val="0"/>
          <w:sz w:val="32"/>
          <w:szCs w:val="32"/>
          <w:lang w:eastAsia="zh-CN" w:bidi="ar-SA"/>
        </w:rPr>
      </w:pPr>
      <w:r>
        <w:rPr>
          <w:rFonts w:hint="eastAsia" w:ascii="方正黑体简体" w:hAnsi="方正黑体简体" w:eastAsia="方正黑体简体" w:cs="方正黑体简体"/>
          <w:b w:val="0"/>
          <w:bCs w:val="0"/>
          <w:sz w:val="32"/>
          <w:szCs w:val="32"/>
          <w:lang w:eastAsia="zh-CN" w:bidi="ar-SA"/>
        </w:rPr>
        <w:t>第三部分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eastAsia="zh-CN" w:bidi="ar-SA"/>
        </w:rPr>
        <w:t>白嘎乡幼儿园预算数据分析</w:t>
      </w:r>
    </w:p>
    <w:p w14:paraId="64A1943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一、部门/单位收支总体情况</w:t>
      </w:r>
    </w:p>
    <w:p w14:paraId="25C0F1F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二、部门/单位收入总体情况</w:t>
      </w:r>
    </w:p>
    <w:p w14:paraId="760EF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三、部门/单位支出总体情况</w:t>
      </w:r>
    </w:p>
    <w:p w14:paraId="376F98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四、财政拨款收支总体情况</w:t>
      </w:r>
    </w:p>
    <w:p w14:paraId="4F498772">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五、一般公共预算支出总体情况（按功能分类科目）</w:t>
      </w:r>
    </w:p>
    <w:p w14:paraId="52DDFCBA">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六、一般公共预算基本支出总体情况（按经济分类款级科目）</w:t>
      </w:r>
    </w:p>
    <w:p w14:paraId="29353D0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七、一般公共预算“三公”经费支出总体情况</w:t>
      </w:r>
    </w:p>
    <w:p w14:paraId="7A72AD4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八、政府性基金预算支出总体情况</w:t>
      </w:r>
    </w:p>
    <w:p w14:paraId="1C6F3D9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九、政府性基金“三公”经费支出总体情况</w:t>
      </w:r>
    </w:p>
    <w:p w14:paraId="72998803">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十、其他重要事项情况说明</w:t>
      </w:r>
    </w:p>
    <w:p w14:paraId="0703DEF8">
      <w:pPr>
        <w:wordWrap/>
        <w:snapToGrid/>
        <w:spacing w:line="576" w:lineRule="exact"/>
        <w:textAlignment w:val="auto"/>
        <w:rPr>
          <w:rFonts w:hint="eastAsia" w:ascii="方正黑体简体" w:hAnsi="方正黑体简体" w:eastAsia="方正黑体简体" w:cs="方正黑体简体"/>
          <w:b w:val="0"/>
          <w:bCs w:val="0"/>
          <w:sz w:val="32"/>
          <w:szCs w:val="32"/>
          <w:lang w:bidi="ar-SA"/>
        </w:rPr>
      </w:pPr>
      <w:r>
        <w:rPr>
          <w:rFonts w:hint="eastAsia" w:ascii="方正黑体简体" w:hAnsi="方正黑体简体" w:eastAsia="方正黑体简体" w:cs="方正黑体简体"/>
          <w:b w:val="0"/>
          <w:bCs w:val="0"/>
          <w:sz w:val="32"/>
          <w:szCs w:val="32"/>
          <w:lang w:bidi="ar-SA"/>
        </w:rPr>
        <w:t>第四部分</w:t>
      </w:r>
      <w:r>
        <w:rPr>
          <w:rFonts w:hint="eastAsia" w:ascii="方正黑体简体" w:hAnsi="方正黑体简体" w:eastAsia="方正黑体简体" w:cs="方正黑体简体"/>
          <w:b w:val="0"/>
          <w:bCs w:val="0"/>
          <w:sz w:val="32"/>
          <w:szCs w:val="32"/>
          <w:lang w:val="en-US" w:eastAsia="zh-CN" w:bidi="ar-SA"/>
        </w:rPr>
        <w:t xml:space="preserve">  </w:t>
      </w:r>
      <w:r>
        <w:rPr>
          <w:rFonts w:hint="eastAsia" w:ascii="方正黑体简体" w:hAnsi="方正黑体简体" w:eastAsia="方正黑体简体" w:cs="方正黑体简体"/>
          <w:b w:val="0"/>
          <w:bCs w:val="0"/>
          <w:sz w:val="32"/>
          <w:szCs w:val="32"/>
          <w:lang w:bidi="ar-SA"/>
        </w:rPr>
        <w:t>名词解释</w:t>
      </w:r>
    </w:p>
    <w:p w14:paraId="3A8D7795">
      <w:pPr>
        <w:rPr>
          <w:rFonts w:ascii="仿宋" w:hAnsi="仿宋" w:eastAsia="仿宋"/>
          <w:sz w:val="32"/>
          <w:szCs w:val="32"/>
          <w:u w:val="none"/>
        </w:rPr>
      </w:pPr>
    </w:p>
    <w:p w14:paraId="435EBD02">
      <w:pPr>
        <w:jc w:val="both"/>
        <w:rPr>
          <w:rFonts w:ascii="方正小标宋简体" w:hAnsi="仿宋" w:eastAsia="方正小标宋简体"/>
          <w:sz w:val="32"/>
          <w:szCs w:val="32"/>
          <w:u w:val="none"/>
        </w:rPr>
      </w:pPr>
    </w:p>
    <w:p w14:paraId="3E502A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第一部分</w:t>
      </w:r>
    </w:p>
    <w:p w14:paraId="246D6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白嘎乡幼儿园</w:t>
      </w:r>
      <w:r>
        <w:rPr>
          <w:rFonts w:hint="eastAsia" w:ascii="方正小标宋简体" w:hAnsi="仿宋" w:eastAsia="方正小标宋简体"/>
          <w:sz w:val="44"/>
          <w:szCs w:val="44"/>
          <w:u w:val="none"/>
        </w:rPr>
        <w:t>概况</w:t>
      </w:r>
    </w:p>
    <w:p w14:paraId="1459F2B0">
      <w:pPr>
        <w:jc w:val="center"/>
        <w:rPr>
          <w:rFonts w:ascii="仿宋" w:hAnsi="仿宋" w:eastAsia="仿宋"/>
          <w:sz w:val="32"/>
          <w:szCs w:val="32"/>
          <w:u w:val="none"/>
        </w:rPr>
      </w:pPr>
    </w:p>
    <w:p w14:paraId="59C01397">
      <w:pPr>
        <w:keepNext w:val="0"/>
        <w:keepLines w:val="0"/>
        <w:pageBreakBefore w:val="0"/>
        <w:widowControl w:val="0"/>
        <w:numPr>
          <w:ilvl w:val="0"/>
          <w:numId w:val="1"/>
        </w:numPr>
        <w:wordWrap/>
        <w:overflowPunct/>
        <w:topLinePunct w:val="0"/>
        <w:bidi w:val="0"/>
        <w:spacing w:line="576" w:lineRule="exac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主要职能</w:t>
      </w:r>
    </w:p>
    <w:p w14:paraId="38BC76E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单位总体情况说明。</w:t>
      </w:r>
    </w:p>
    <w:p w14:paraId="312A36B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组织部门印发的“三定”方案文件，规定的部门（单位）主要职责。</w:t>
      </w:r>
    </w:p>
    <w:p w14:paraId="3B82BAB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例如：负责管理学校教育教学及学校安全工作，组织协调学校各科室工作及学校安全工作，起草学校工作总结及下一步计划，拟定学校重要工作安排，编制学校会议重要内容，承办上级部门安排的各项活动</w:t>
      </w:r>
    </w:p>
    <w:p w14:paraId="2140DD76">
      <w:pPr>
        <w:keepNext w:val="0"/>
        <w:keepLines w:val="0"/>
        <w:pageBreakBefore w:val="0"/>
        <w:widowControl w:val="0"/>
        <w:numPr>
          <w:ilvl w:val="0"/>
          <w:numId w:val="1"/>
        </w:numPr>
        <w:wordWrap/>
        <w:overflowPunct/>
        <w:topLinePunct w:val="0"/>
        <w:bidi w:val="0"/>
        <w:spacing w:line="576" w:lineRule="exact"/>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部门预算单位机构成</w:t>
      </w:r>
    </w:p>
    <w:p w14:paraId="507CC471">
      <w:pPr>
        <w:keepNext w:val="0"/>
        <w:keepLines w:val="0"/>
        <w:pageBreakBefore w:val="0"/>
        <w:widowControl w:val="0"/>
        <w:numPr>
          <w:ilvl w:val="0"/>
          <w:numId w:val="2"/>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学生人数</w:t>
      </w:r>
    </w:p>
    <w:p w14:paraId="58434198">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color w:val="000000"/>
          <w:sz w:val="32"/>
          <w:szCs w:val="32"/>
          <w:highlight w:val="none"/>
        </w:rPr>
        <w:t>全校在校学生</w:t>
      </w:r>
      <w:r>
        <w:rPr>
          <w:rFonts w:hint="eastAsia" w:ascii="Times New Roman" w:hAnsi="Times New Roman" w:eastAsia="方正仿宋简体" w:cs="Times New Roman"/>
          <w:color w:val="000000"/>
          <w:sz w:val="32"/>
          <w:szCs w:val="32"/>
          <w:highlight w:val="none"/>
          <w:lang w:val="en-US" w:eastAsia="zh-CN"/>
        </w:rPr>
        <w:t>835</w:t>
      </w:r>
      <w:r>
        <w:rPr>
          <w:rFonts w:hint="default" w:ascii="Times New Roman" w:hAnsi="Times New Roman" w:eastAsia="方正仿宋简体" w:cs="Times New Roman"/>
          <w:color w:val="000000"/>
          <w:sz w:val="32"/>
          <w:szCs w:val="32"/>
          <w:highlight w:val="none"/>
        </w:rPr>
        <w:t>人，其中：享受“三包”助学金</w:t>
      </w:r>
      <w:r>
        <w:rPr>
          <w:rFonts w:hint="eastAsia" w:ascii="Times New Roman" w:hAnsi="Times New Roman" w:eastAsia="方正仿宋简体" w:cs="Times New Roman"/>
          <w:color w:val="000000"/>
          <w:sz w:val="32"/>
          <w:szCs w:val="32"/>
          <w:highlight w:val="none"/>
          <w:lang w:val="en-US" w:eastAsia="zh-CN"/>
        </w:rPr>
        <w:t>832</w:t>
      </w:r>
    </w:p>
    <w:p w14:paraId="5D891551">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人（随班就读学生</w:t>
      </w:r>
      <w:r>
        <w:rPr>
          <w:rFonts w:hint="eastAsia" w:ascii="Times New Roman" w:hAnsi="Times New Roman" w:eastAsia="方正仿宋简体" w:cs="Times New Roman"/>
          <w:color w:val="000000"/>
          <w:sz w:val="32"/>
          <w:szCs w:val="32"/>
          <w:highlight w:val="none"/>
          <w:lang w:val="en-US" w:eastAsia="zh-CN"/>
        </w:rPr>
        <w:t>5</w:t>
      </w:r>
      <w:r>
        <w:rPr>
          <w:rFonts w:hint="default" w:ascii="Times New Roman" w:hAnsi="Times New Roman" w:eastAsia="方正仿宋简体" w:cs="Times New Roman"/>
          <w:color w:val="000000"/>
          <w:sz w:val="32"/>
          <w:szCs w:val="32"/>
          <w:highlight w:val="none"/>
        </w:rPr>
        <w:t>名），非三包</w:t>
      </w:r>
      <w:r>
        <w:rPr>
          <w:rFonts w:hint="eastAsia" w:ascii="Times New Roman" w:hAnsi="Times New Roman" w:eastAsia="方正仿宋简体" w:cs="Times New Roman"/>
          <w:color w:val="000000"/>
          <w:sz w:val="32"/>
          <w:szCs w:val="32"/>
          <w:highlight w:val="none"/>
          <w:lang w:val="en-US" w:eastAsia="zh-CN"/>
        </w:rPr>
        <w:t>3</w:t>
      </w:r>
      <w:r>
        <w:rPr>
          <w:rFonts w:hint="default" w:ascii="Times New Roman" w:hAnsi="Times New Roman" w:eastAsia="方正仿宋简体" w:cs="Times New Roman"/>
          <w:color w:val="000000"/>
          <w:sz w:val="32"/>
          <w:szCs w:val="32"/>
          <w:highlight w:val="none"/>
        </w:rPr>
        <w:t>人。</w:t>
      </w:r>
    </w:p>
    <w:p w14:paraId="6F039E56">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享受农村义务教育营养改善</w:t>
      </w:r>
      <w:r>
        <w:rPr>
          <w:rFonts w:hint="eastAsia" w:ascii="Times New Roman" w:hAnsi="Times New Roman" w:eastAsia="方正仿宋简体" w:cs="Times New Roman"/>
          <w:color w:val="000000"/>
          <w:sz w:val="32"/>
          <w:szCs w:val="32"/>
          <w:highlight w:val="none"/>
          <w:lang w:val="en-US" w:eastAsia="zh-CN"/>
        </w:rPr>
        <w:t>0</w:t>
      </w:r>
      <w:r>
        <w:rPr>
          <w:rFonts w:hint="default" w:ascii="Times New Roman" w:hAnsi="Times New Roman" w:eastAsia="方正仿宋简体" w:cs="Times New Roman"/>
          <w:color w:val="000000"/>
          <w:sz w:val="32"/>
          <w:szCs w:val="32"/>
          <w:highlight w:val="none"/>
        </w:rPr>
        <w:t>人，其中：</w:t>
      </w:r>
      <w:r>
        <w:rPr>
          <w:rFonts w:hint="eastAsia" w:ascii="Times New Roman" w:hAnsi="Times New Roman" w:eastAsia="方正仿宋简体" w:cs="Times New Roman"/>
          <w:color w:val="000000"/>
          <w:sz w:val="32"/>
          <w:szCs w:val="32"/>
          <w:highlight w:val="none"/>
          <w:lang w:val="en-US" w:eastAsia="zh-CN"/>
        </w:rPr>
        <w:t>地方</w:t>
      </w:r>
      <w:r>
        <w:rPr>
          <w:rFonts w:hint="default" w:ascii="Times New Roman" w:hAnsi="Times New Roman" w:eastAsia="方正仿宋简体" w:cs="Times New Roman"/>
          <w:color w:val="000000"/>
          <w:sz w:val="32"/>
          <w:szCs w:val="32"/>
          <w:highlight w:val="none"/>
        </w:rPr>
        <w:t>试点</w:t>
      </w:r>
      <w:r>
        <w:rPr>
          <w:rFonts w:hint="eastAsia" w:ascii="Times New Roman" w:hAnsi="Times New Roman" w:eastAsia="方正仿宋简体" w:cs="Times New Roman"/>
          <w:color w:val="000000"/>
          <w:sz w:val="32"/>
          <w:szCs w:val="32"/>
          <w:highlight w:val="none"/>
          <w:lang w:val="en-US" w:eastAsia="zh-CN"/>
        </w:rPr>
        <w:t>0</w:t>
      </w:r>
      <w:r>
        <w:rPr>
          <w:rFonts w:hint="default" w:ascii="Times New Roman" w:hAnsi="Times New Roman" w:eastAsia="方正仿宋简体" w:cs="Times New Roman"/>
          <w:color w:val="000000"/>
          <w:sz w:val="32"/>
          <w:szCs w:val="32"/>
          <w:highlight w:val="none"/>
        </w:rPr>
        <w:t>人。</w:t>
      </w:r>
    </w:p>
    <w:p w14:paraId="78DE483E">
      <w:pPr>
        <w:keepNext w:val="0"/>
        <w:keepLines w:val="0"/>
        <w:pageBreakBefore w:val="0"/>
        <w:widowControl w:val="0"/>
        <w:numPr>
          <w:ilvl w:val="0"/>
          <w:numId w:val="2"/>
        </w:numPr>
        <w:wordWrap/>
        <w:overflowPunct/>
        <w:topLinePunct w:val="0"/>
        <w:bidi w:val="0"/>
        <w:snapToGrid w:val="0"/>
        <w:spacing w:before="0" w:beforeLines="0" w:after="0" w:afterLines="0" w:line="576" w:lineRule="exact"/>
        <w:ind w:left="0" w:leftChars="0" w:right="0" w:rightChars="0" w:firstLine="420" w:firstLineChars="0"/>
        <w:jc w:val="both"/>
        <w:textAlignment w:val="auto"/>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教职工人数</w:t>
      </w:r>
    </w:p>
    <w:p w14:paraId="7FE9F654">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color w:val="000000"/>
          <w:sz w:val="32"/>
          <w:szCs w:val="32"/>
          <w:highlight w:val="none"/>
        </w:rPr>
      </w:pPr>
      <w:r>
        <w:rPr>
          <w:rFonts w:hint="default" w:ascii="Times New Roman" w:hAnsi="Times New Roman" w:eastAsia="方正仿宋简体" w:cs="Times New Roman"/>
          <w:color w:val="000000"/>
          <w:sz w:val="32"/>
          <w:szCs w:val="32"/>
          <w:highlight w:val="none"/>
        </w:rPr>
        <w:t>全校教职工</w:t>
      </w:r>
      <w:r>
        <w:rPr>
          <w:rFonts w:hint="eastAsia" w:ascii="Times New Roman" w:hAnsi="Times New Roman" w:eastAsia="方正仿宋简体" w:cs="Times New Roman"/>
          <w:color w:val="000000"/>
          <w:sz w:val="32"/>
          <w:szCs w:val="32"/>
          <w:highlight w:val="none"/>
          <w:lang w:val="en-US" w:eastAsia="zh-CN"/>
        </w:rPr>
        <w:t>21</w:t>
      </w:r>
      <w:r>
        <w:rPr>
          <w:rFonts w:hint="default" w:ascii="Times New Roman" w:hAnsi="Times New Roman" w:eastAsia="方正仿宋简体" w:cs="Times New Roman"/>
          <w:color w:val="000000"/>
          <w:sz w:val="32"/>
          <w:szCs w:val="32"/>
          <w:highlight w:val="none"/>
        </w:rPr>
        <w:t>人</w:t>
      </w:r>
      <w:r>
        <w:rPr>
          <w:rFonts w:hint="eastAsia"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我校是</w:t>
      </w:r>
      <w:r>
        <w:rPr>
          <w:rFonts w:hint="eastAsia" w:ascii="Times New Roman" w:hAnsi="Times New Roman" w:eastAsia="方正仿宋简体" w:cs="Times New Roman"/>
          <w:color w:val="000000"/>
          <w:sz w:val="32"/>
          <w:szCs w:val="32"/>
          <w:highlight w:val="none"/>
          <w:lang w:val="en-US" w:eastAsia="zh-CN"/>
        </w:rPr>
        <w:t>由</w:t>
      </w:r>
      <w:r>
        <w:rPr>
          <w:rFonts w:hint="default" w:ascii="Times New Roman" w:hAnsi="Times New Roman" w:eastAsia="方正仿宋简体" w:cs="Times New Roman"/>
          <w:color w:val="000000"/>
          <w:sz w:val="32"/>
          <w:szCs w:val="32"/>
          <w:highlight w:val="none"/>
        </w:rPr>
        <w:t>校安办、电教室、后勤办、作风办、教研室、师资科、财务室等科室构成</w:t>
      </w:r>
      <w:r>
        <w:rPr>
          <w:rFonts w:hint="eastAsia" w:ascii="Times New Roman" w:hAnsi="Times New Roman" w:eastAsia="方正仿宋简体" w:cs="Times New Roman"/>
          <w:color w:val="000000"/>
          <w:sz w:val="32"/>
          <w:szCs w:val="32"/>
          <w:highlight w:val="none"/>
        </w:rPr>
        <w:t>。</w:t>
      </w:r>
    </w:p>
    <w:p w14:paraId="6F4022DE">
      <w:pPr>
        <w:rPr>
          <w:rFonts w:hint="default" w:ascii="Times New Roman" w:hAnsi="Times New Roman" w:eastAsia="方正仿宋简体" w:cs="Times New Roman"/>
          <w:color w:val="000000"/>
          <w:sz w:val="32"/>
          <w:szCs w:val="32"/>
          <w:highlight w:val="none"/>
        </w:rPr>
      </w:pPr>
      <w:r>
        <w:rPr>
          <w:rFonts w:hint="eastAsia" w:ascii="Times New Roman" w:hAnsi="Times New Roman" w:eastAsia="方正仿宋简体" w:cs="Times New Roman"/>
          <w:color w:val="000000"/>
          <w:sz w:val="32"/>
          <w:szCs w:val="32"/>
          <w:highlight w:val="none"/>
        </w:rPr>
        <w:br w:type="page"/>
      </w:r>
    </w:p>
    <w:p w14:paraId="658FFC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第二部分</w:t>
      </w:r>
    </w:p>
    <w:p w14:paraId="5FE432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白嘎乡幼儿园2026</w:t>
      </w:r>
      <w:r>
        <w:rPr>
          <w:rFonts w:hint="eastAsia" w:ascii="方正小标宋简体" w:hAnsi="仿宋" w:eastAsia="方正小标宋简体"/>
          <w:sz w:val="44"/>
          <w:szCs w:val="44"/>
          <w:u w:val="none"/>
        </w:rPr>
        <w:t>年度预算明细表</w:t>
      </w:r>
    </w:p>
    <w:p w14:paraId="506D7E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（表格详见附件）</w:t>
      </w:r>
    </w:p>
    <w:p w14:paraId="16514531">
      <w:pPr>
        <w:jc w:val="center"/>
        <w:rPr>
          <w:rFonts w:hint="eastAsia" w:ascii="方正小标宋简体" w:hAnsi="仿宋" w:eastAsia="方正小标宋简体"/>
          <w:sz w:val="44"/>
          <w:szCs w:val="44"/>
          <w:u w:val="none"/>
        </w:rPr>
      </w:pPr>
    </w:p>
    <w:p w14:paraId="1396A34A">
      <w:pPr>
        <w:spacing w:line="576" w:lineRule="exact"/>
        <w:ind w:firstLine="320" w:firstLineChars="1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（1.部门整体预算表应包括机关和所有二三级单位的汇总预算；2.部门机关的预算应单独公开；3.部门所属二、三级单位的预算也应单独公开）</w:t>
      </w:r>
    </w:p>
    <w:p w14:paraId="15030303">
      <w:pPr>
        <w:rPr>
          <w:rFonts w:ascii="仿宋" w:hAnsi="仿宋" w:eastAsia="仿宋"/>
          <w:sz w:val="32"/>
          <w:szCs w:val="32"/>
          <w:u w:val="none"/>
        </w:rPr>
      </w:pPr>
    </w:p>
    <w:p w14:paraId="20BA8654">
      <w:pPr>
        <w:rPr>
          <w:rFonts w:ascii="黑体" w:hAnsi="黑体" w:eastAsia="黑体"/>
          <w:sz w:val="32"/>
          <w:szCs w:val="32"/>
          <w:u w:val="none"/>
        </w:rPr>
      </w:pPr>
      <w:r>
        <w:rPr>
          <w:rFonts w:ascii="黑体" w:hAnsi="黑体" w:eastAsia="黑体"/>
          <w:sz w:val="32"/>
          <w:szCs w:val="32"/>
          <w:u w:val="none"/>
        </w:rPr>
        <w:br w:type="page"/>
      </w:r>
    </w:p>
    <w:p w14:paraId="423F7F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第三部分</w:t>
      </w:r>
    </w:p>
    <w:p w14:paraId="4153CE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白嘎乡幼儿园2026</w:t>
      </w:r>
      <w:r>
        <w:rPr>
          <w:rFonts w:hint="eastAsia" w:ascii="方正小标宋简体" w:hAnsi="仿宋" w:eastAsia="方正小标宋简体"/>
          <w:sz w:val="44"/>
          <w:szCs w:val="44"/>
          <w:u w:val="none"/>
        </w:rPr>
        <w:t>年度部门（单位）预算</w:t>
      </w:r>
    </w:p>
    <w:p w14:paraId="18FE62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数据分析</w:t>
      </w:r>
    </w:p>
    <w:p w14:paraId="72176B19">
      <w:pPr>
        <w:jc w:val="center"/>
        <w:rPr>
          <w:rFonts w:ascii="黑体" w:hAnsi="黑体" w:eastAsia="黑体"/>
          <w:sz w:val="32"/>
          <w:szCs w:val="32"/>
          <w:u w:val="none"/>
        </w:rPr>
      </w:pPr>
    </w:p>
    <w:p w14:paraId="0774A0E9">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一、部门（单位）收支总体情况</w:t>
      </w:r>
    </w:p>
    <w:p w14:paraId="265BE4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支总预算1159.54万元。收入包括：一般公共预算拨款收入1159.54万元，政府性基金拨款收入0万元、国资预算拨款收入0万元、专户资金收入0万元、事业收入0万元、事业单位经营收入0万元、其他收入0万元、使用非财政拨款结余0万元、上年结转0万元；支出包括：一般公共服务支出0万元、外交支出0万元、教育支出1001.67万元、科学技术支出0万元、文化旅游体育与传媒支出0万元、社会保障和就业支出66.08万元、卫生健康支出42.23万元、住房保障支出49.56万元等。</w:t>
      </w:r>
    </w:p>
    <w:p w14:paraId="625DF31A">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二、部门（单位）收入总体情况</w:t>
      </w:r>
    </w:p>
    <w:p w14:paraId="77E576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收入预算总量1159.54万元，其中：上年结转0万元，占0%；2026年一般公共预算拨款收入1159.54万元，占100%；2026年政府性基金预算拨款收入0万元，占0%；2026年国有资本经营预算拨款收入0万元，占0%。</w:t>
      </w:r>
    </w:p>
    <w:p w14:paraId="566EF99D">
      <w:pPr>
        <w:ind w:firstLine="480" w:firstLineChars="150"/>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三、部门（单位）支出总体情况</w:t>
      </w:r>
    </w:p>
    <w:p w14:paraId="108760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支出预算总量1159.54万元，其中：基本支出1159.54万元，占100%，无项目支出、事业单位经营支出、上缴上级支出及对附属单位补助支出。基本支出中，工资福利支出699.64万元，对个人和家庭补助350.34万元，公用经费109.56万元。</w:t>
      </w:r>
    </w:p>
    <w:p w14:paraId="73619897">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四、财政拨款收支总体情况</w:t>
      </w:r>
    </w:p>
    <w:p w14:paraId="0227D5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财政拨款收支总预算1159.54万元，收入包括：一般公共预算当年拨款收入1159.54万元、政府性基金0万元、国有资本经营预算0万元、上年结转0万元；支出包括：一般公共服务支出0万元、外交支出0万元、教育支出1001.67万元、科学技术支出0万元、文化旅游体育与传媒支出0万元、社会保障和就业支出66.08万元、卫生健康支出42.23万元、住房保障支出49.56万元。</w:t>
      </w:r>
    </w:p>
    <w:p w14:paraId="4D296CEC">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五、一般公共预算支出总体情况</w:t>
      </w:r>
    </w:p>
    <w:p w14:paraId="49446A36">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（一）一般公共预算当年拨款规模变化情况。</w:t>
      </w:r>
    </w:p>
    <w:p w14:paraId="501967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一般公共预算当年拨款1159.54万元。</w:t>
      </w:r>
    </w:p>
    <w:p w14:paraId="2AA49642">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14:paraId="502CA0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般公共预算当年拨款1159.54万元，主要用于以下方面：一般公共服务支出0万元，占0%；教育支出1001.67万元，占86.39%；科学技术支出0万元，占0%；社会保障和就业支出66.08万元，占5.69%；卫生健康支出42.23万元，占3.64%；住房保障支出49.56万元，占4.27%。其中，教育支出中普通教育（学前教育976.47万元、初中教育25.20万元）1001.67万元；社会保障和就业支出中行政事业单位养老支出（机关事业单位基本养老保险缴费支出）66.08万元；卫生健康支出中行政事业单位医疗（行政单位医疗35.93万元、其他行政事业单位医疗支出6.30万元）42.23万元；住房保障支出中住房改革支出（住房公积金）49.56万元。</w:t>
      </w:r>
    </w:p>
    <w:p w14:paraId="1D1631DA">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六、一般公共预算基本支出总体情况</w:t>
      </w:r>
    </w:p>
    <w:p w14:paraId="55BDB0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一般公共预算基本支出1159.54万元。其中：人员经费1049.98万元（工资福利支出699.64万元+对个人和家庭的补助350.34万元），主要包括：工资性支出（基本工资56.76万元、津贴补贴355.83万元、奖金29.75万元）、机关事业单位基本养老保险缴费66.08万元、城镇职工基本医疗保险缴费35.93万元、其他社会保险缴费2.26万元、其他工资福利支出97.17万元、住房公积金49.56万元、医疗费6.30万元、对个人和家庭的补助（助学金350.34万元）等。</w:t>
      </w:r>
    </w:p>
    <w:p w14:paraId="2E537C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公用经费109.56万元，主要包括：商品和服务支出（办公费24.00万元、电费10.00万元、差旅费3.00万元、维修（护）费13.00万元、培训费0.50万元、劳务费27.38万元、工会经费7.99万元、其他商品和服务支出23.69万元）等。（教育部门根据预算安排情况填列本部门涉及的免费教育经费、生均公用经费、其他商品和服务支出的具体科目。）</w:t>
      </w:r>
    </w:p>
    <w:p w14:paraId="53C936D4">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七、一般公共预算“三公”经费预算总体情况</w:t>
      </w:r>
    </w:p>
    <w:p w14:paraId="672689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2026年“三公”经费预算数为0万元，其中：因公出国（境）费0万元，公务用车购置0万元，公车运行费0万元，公务接待费0万元。</w:t>
      </w:r>
    </w:p>
    <w:p w14:paraId="29A51B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2026年因公出国（境）0个团组、0人，公务用车购置0辆、保有0辆，国内公务接待0批次、0人。</w:t>
      </w:r>
    </w:p>
    <w:p w14:paraId="5FD11C44">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八、政府性基金预算支出总体情况</w:t>
      </w:r>
    </w:p>
    <w:p w14:paraId="743651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政府性基金预算当年拨款0万元,比2025年执行数减少0万元，主要原因：我单位2026年无政府性基金安排。</w:t>
      </w:r>
    </w:p>
    <w:p w14:paraId="0B220CE9">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九、政府性基金“三公”经费总体情况</w:t>
      </w:r>
    </w:p>
    <w:p w14:paraId="60161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ind w:firstLine="480" w:firstLineChars="15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十、其他重要事项的情况说明</w:t>
      </w:r>
    </w:p>
    <w:p w14:paraId="1DA35E48">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（一）机关运行经费安排使用情况说明。</w:t>
      </w:r>
    </w:p>
    <w:p w14:paraId="1F64B5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2026年部门（单位）机关运行经费财政拨款预算109.56万元，主要用于保障机构正常运转、完成日常工作任务所需的商品和服务支出等。</w:t>
      </w:r>
    </w:p>
    <w:p w14:paraId="759270BE">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（二）政府采购情况说明。</w:t>
      </w:r>
    </w:p>
    <w:p w14:paraId="42627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2026年本部门及所属各预算单位政府采购预算总额0万元，其中：政府采购货物预算0万元、政府采购工程预算0万元、政府采购服务预算0万元。</w:t>
      </w:r>
    </w:p>
    <w:p w14:paraId="1A738E1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（三）国有资产占有使用情况说明。</w:t>
      </w:r>
    </w:p>
    <w:p w14:paraId="5E1F2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截至2026年1月底，本部门及所属各预算单位共有车辆0辆。</w:t>
      </w:r>
    </w:p>
    <w:p w14:paraId="6D27079A">
      <w:pPr>
        <w:spacing w:line="576" w:lineRule="exact"/>
        <w:ind w:firstLine="640" w:firstLineChars="200"/>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w:t>
      </w:r>
      <w:r>
        <w:rPr>
          <w:rFonts w:hint="eastAsia" w:ascii="方正楷体简体" w:hAnsi="方正楷体简体" w:eastAsia="方正楷体简体" w:cs="方正楷体简体"/>
          <w:sz w:val="32"/>
          <w:szCs w:val="32"/>
          <w:lang w:eastAsia="zh-CN"/>
        </w:rPr>
        <w:t>2026</w:t>
      </w:r>
      <w:r>
        <w:rPr>
          <w:rFonts w:hint="eastAsia" w:ascii="方正楷体简体" w:hAnsi="方正楷体简体" w:eastAsia="方正楷体简体" w:cs="方正楷体简体"/>
          <w:sz w:val="32"/>
          <w:szCs w:val="32"/>
        </w:rPr>
        <w:t>年预算绩效情况说明。</w:t>
      </w:r>
    </w:p>
    <w:p w14:paraId="50A8E0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简体" w:cs="Times New Roman"/>
          <w:sz w:val="32"/>
          <w:szCs w:val="32"/>
          <w:lang w:val="en-US" w:eastAsia="zh-CN"/>
        </w:rPr>
      </w:pPr>
      <w:bookmarkStart w:id="0" w:name="_GoBack"/>
      <w:r>
        <w:rPr>
          <w:rFonts w:hint="eastAsia" w:ascii="Times New Roman" w:hAnsi="Times New Roman" w:eastAsia="方正仿宋简体" w:cs="Times New Roman"/>
          <w:sz w:val="32"/>
          <w:szCs w:val="32"/>
          <w:lang w:val="en-US" w:eastAsia="zh-CN"/>
        </w:rPr>
        <w:t>2026年实现财政支出绩效目标管理全覆盖，实行绩效目标管理20个项目，资金1159.54万元，其中：中央转移支付资金0万元，地方资金1159.54万元。</w:t>
      </w:r>
    </w:p>
    <w:bookmarkEnd w:id="0"/>
    <w:p w14:paraId="04E14A78">
      <w:pPr>
        <w:spacing w:line="588" w:lineRule="exact"/>
        <w:ind w:firstLine="640" w:firstLineChars="200"/>
        <w:rPr>
          <w:rFonts w:hint="eastAsia" w:ascii="仿宋" w:hAnsi="仿宋" w:eastAsia="仿宋"/>
          <w:sz w:val="32"/>
          <w:szCs w:val="32"/>
          <w:u w:val="none"/>
        </w:rPr>
      </w:pPr>
    </w:p>
    <w:p w14:paraId="28994E14">
      <w:pPr>
        <w:jc w:val="center"/>
        <w:rPr>
          <w:rFonts w:hint="eastAsia" w:ascii="方正小标宋简体" w:hAnsi="仿宋" w:eastAsia="方正小标宋简体"/>
          <w:sz w:val="44"/>
          <w:szCs w:val="44"/>
          <w:u w:val="none"/>
        </w:rPr>
      </w:pPr>
    </w:p>
    <w:p w14:paraId="4F428E1E">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6CAEEE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第四部分</w:t>
      </w:r>
    </w:p>
    <w:p w14:paraId="7288D4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名词解释</w:t>
      </w:r>
    </w:p>
    <w:p w14:paraId="064C64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（对部门和单位专业性较强的名次进行解释。）</w:t>
      </w:r>
    </w:p>
    <w:p w14:paraId="3121EBFC">
      <w:pPr>
        <w:jc w:val="center"/>
        <w:rPr>
          <w:rFonts w:hint="eastAsia" w:ascii="方正小标宋简体" w:hAnsi="仿宋" w:eastAsia="方正小标宋简体"/>
          <w:sz w:val="40"/>
          <w:szCs w:val="40"/>
          <w:u w:val="none"/>
        </w:rPr>
      </w:pPr>
    </w:p>
    <w:p w14:paraId="3BC0F8BB">
      <w:pPr>
        <w:ind w:firstLine="640" w:firstLineChars="200"/>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一、财政拨款收入：</w:t>
      </w:r>
      <w:r>
        <w:rPr>
          <w:rFonts w:hint="eastAsia" w:ascii="Times New Roman" w:hAnsi="Times New Roman" w:eastAsia="方正仿宋简体" w:cs="Times New Roman"/>
          <w:sz w:val="32"/>
          <w:szCs w:val="32"/>
          <w:highlight w:val="none"/>
          <w:lang w:val="en-US" w:eastAsia="zh-CN"/>
        </w:rPr>
        <w:t>本级财政部门当年拨付的财政预算资金，包括一般公共预算财政拨款、政府性基金预算财政拨款和国资预算财政拨款。</w:t>
      </w:r>
    </w:p>
    <w:p w14:paraId="7512EA82">
      <w:pPr>
        <w:ind w:firstLine="640" w:firstLineChars="200"/>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二、事业收入：</w:t>
      </w:r>
      <w:r>
        <w:rPr>
          <w:rFonts w:hint="eastAsia" w:ascii="Times New Roman" w:hAnsi="Times New Roman" w:eastAsia="方正仿宋简体" w:cs="Times New Roman"/>
          <w:sz w:val="32"/>
          <w:szCs w:val="32"/>
          <w:highlight w:val="none"/>
          <w:lang w:val="en-US" w:eastAsia="zh-CN"/>
        </w:rPr>
        <w:t>指事业单位开展专业业务活动及辅助活动所取得的收入。</w:t>
      </w:r>
    </w:p>
    <w:p w14:paraId="71BB6F7D">
      <w:pPr>
        <w:ind w:firstLine="640" w:firstLineChars="200"/>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三、事业单位经营收入：</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指事业单位在专业业务活动及其辅助活动之外开展非独立核算经营活动取得的收入。</w:t>
      </w:r>
    </w:p>
    <w:p w14:paraId="3EB10EC3">
      <w:pPr>
        <w:spacing w:line="588" w:lineRule="exact"/>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四、机关运行经费：</w:t>
      </w:r>
      <w:r>
        <w:rPr>
          <w:rFonts w:hint="eastAsia" w:ascii="Times New Roman" w:hAnsi="Times New Roman" w:eastAsia="方正仿宋简体" w:cs="Times New Roman"/>
          <w:sz w:val="32"/>
          <w:szCs w:val="32"/>
          <w:highlight w:val="none"/>
          <w:lang w:val="en-US" w:eastAsia="zh-C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0" w:after="0" w:afterLines="0" w:line="576" w:lineRule="exact"/>
        <w:ind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五、其他收入</w:t>
      </w:r>
      <w:r>
        <w:rPr>
          <w:rFonts w:hint="eastAsia" w:ascii="方正黑体简体" w:hAnsi="方正黑体简体" w:eastAsia="方正黑体简体" w:cs="方正黑体简体"/>
          <w:sz w:val="32"/>
          <w:szCs w:val="32"/>
          <w:lang w:val="en-US" w:eastAsia="zh-CN"/>
        </w:rPr>
        <w:t>：</w:t>
      </w:r>
      <w:r>
        <w:rPr>
          <w:rFonts w:hint="eastAsia" w:ascii="Times New Roman" w:hAnsi="Times New Roman" w:eastAsia="方正仿宋简体" w:cs="Times New Roman"/>
          <w:sz w:val="32"/>
          <w:szCs w:val="32"/>
          <w:highlight w:val="none"/>
          <w:lang w:val="en-US" w:eastAsia="zh-CN"/>
        </w:rPr>
        <w:t>指除上述“一般公共预算拨款收入”、“事业收入”、“事业单位经营收入”等以外的收入。主要是按规定动用的售房收入、存款利息收入等。</w:t>
      </w:r>
    </w:p>
    <w:p w14:paraId="1B55A2CC">
      <w:pPr>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六、上年结转：</w:t>
      </w:r>
      <w:r>
        <w:rPr>
          <w:rFonts w:hint="eastAsia" w:ascii="Times New Roman" w:hAnsi="Times New Roman" w:eastAsia="方正仿宋简体" w:cs="Times New Roman"/>
          <w:sz w:val="32"/>
          <w:szCs w:val="32"/>
          <w:highlight w:val="none"/>
          <w:lang w:val="en-US" w:eastAsia="zh-CN"/>
        </w:rPr>
        <w:t>指以前年度安排、结转到本年仍按原规定用途继续使用的资金。</w:t>
      </w:r>
    </w:p>
    <w:p w14:paraId="3F5336F7">
      <w:pPr>
        <w:spacing w:line="588" w:lineRule="exact"/>
        <w:ind w:firstLine="640" w:firstLineChars="200"/>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七、重点项目：</w:t>
      </w:r>
      <w:r>
        <w:rPr>
          <w:rFonts w:hint="eastAsia" w:ascii="Times New Roman" w:hAnsi="Times New Roman" w:eastAsia="方正仿宋简体" w:cs="Times New Roman"/>
          <w:sz w:val="32"/>
          <w:szCs w:val="32"/>
          <w:highlight w:val="none"/>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autoSpaceDE w:val="0"/>
        <w:autoSpaceDN w:val="0"/>
        <w:adjustRightInd w:val="0"/>
        <w:ind w:firstLine="640" w:firstLineChars="200"/>
        <w:jc w:val="left"/>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八、基本支出：</w:t>
      </w:r>
      <w:r>
        <w:rPr>
          <w:rFonts w:hint="eastAsia" w:ascii="Times New Roman" w:hAnsi="Times New Roman" w:eastAsia="方正仿宋简体" w:cs="Times New Roman"/>
          <w:sz w:val="32"/>
          <w:szCs w:val="32"/>
          <w:highlight w:val="none"/>
          <w:lang w:val="en-US" w:eastAsia="zh-CN"/>
        </w:rPr>
        <w:t>指为保障机构正常运转、完成日常工作任务而发生的人员支出和公用支出。</w:t>
      </w:r>
    </w:p>
    <w:p w14:paraId="51252589">
      <w:pPr>
        <w:autoSpaceDE w:val="0"/>
        <w:autoSpaceDN w:val="0"/>
        <w:adjustRightInd w:val="0"/>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九、项目支出：</w:t>
      </w:r>
      <w:r>
        <w:rPr>
          <w:rFonts w:hint="eastAsia" w:ascii="Times New Roman" w:hAnsi="Times New Roman" w:eastAsia="方正仿宋简体" w:cs="Times New Roman"/>
          <w:sz w:val="32"/>
          <w:szCs w:val="32"/>
          <w:highlight w:val="none"/>
          <w:lang w:val="en-US" w:eastAsia="zh-CN"/>
        </w:rPr>
        <w:t>指在基本支出之外为完成特定行政任务或事业发展目标所发生的支出。</w:t>
      </w:r>
    </w:p>
    <w:p w14:paraId="191DC8DF">
      <w:pPr>
        <w:autoSpaceDE w:val="0"/>
        <w:autoSpaceDN w:val="0"/>
        <w:adjustRightInd w:val="0"/>
        <w:ind w:firstLine="640" w:firstLineChars="200"/>
        <w:jc w:val="left"/>
        <w:rPr>
          <w:rFonts w:hint="eastAsia" w:ascii="方正仿宋_GBK" w:hAnsi="方正仿宋_GBK" w:eastAsia="方正仿宋_GBK" w:cs="方正仿宋_GBK"/>
          <w:sz w:val="32"/>
          <w:szCs w:val="32"/>
          <w:u w:val="none"/>
        </w:rPr>
      </w:pPr>
      <w:r>
        <w:rPr>
          <w:rFonts w:hint="eastAsia" w:ascii="方正黑体简体" w:hAnsi="方正黑体简体" w:eastAsia="方正黑体简体" w:cs="方正黑体简体"/>
          <w:sz w:val="32"/>
          <w:szCs w:val="32"/>
        </w:rPr>
        <w:t>十、“三公”经费：</w:t>
      </w:r>
      <w:r>
        <w:rPr>
          <w:rFonts w:hint="eastAsia" w:ascii="Times New Roman" w:hAnsi="Times New Roman" w:eastAsia="方正仿宋简体" w:cs="Times New Roman"/>
          <w:sz w:val="32"/>
          <w:szCs w:val="32"/>
          <w:highlight w:val="none"/>
          <w:lang w:val="en-US" w:eastAsia="zh-CN"/>
        </w:rPr>
        <w:t>是指安排的因公出国（境）费、公务用车购置及运行维护费和公务接待费。</w:t>
      </w:r>
    </w:p>
    <w:p w14:paraId="26AFCD28">
      <w:pPr>
        <w:autoSpaceDE w:val="0"/>
        <w:autoSpaceDN w:val="0"/>
        <w:adjustRightInd w:val="0"/>
        <w:ind w:firstLine="640" w:firstLineChars="200"/>
        <w:jc w:val="left"/>
        <w:rPr>
          <w:rFonts w:hint="eastAsia" w:ascii="Times New Roman" w:hAnsi="Times New Roman" w:eastAsia="方正仿宋简体" w:cs="Times New Roman"/>
          <w:sz w:val="32"/>
          <w:szCs w:val="32"/>
          <w:highlight w:val="none"/>
          <w:lang w:val="en-US" w:eastAsia="zh-CN"/>
        </w:rPr>
      </w:pP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、事业单位经营支出：</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指事业单位在专业业务活动及其辅助活动之外开展非独立核算经营活动发生的支出。</w:t>
      </w:r>
    </w:p>
    <w:p w14:paraId="61988696">
      <w:pPr>
        <w:rPr>
          <w:u w:val="none"/>
        </w:rPr>
      </w:pP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简体">
    <w:altName w:val="方正楷体_GBK"/>
    <w:panose1 w:val="02010601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14E49BE"/>
    <w:multiLevelType w:val="singleLevel"/>
    <w:tmpl w:val="714E49BE"/>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7D722DD"/>
    <w:rsid w:val="0EF4340E"/>
    <w:rsid w:val="1A4F8D5A"/>
    <w:rsid w:val="3F6A12BB"/>
    <w:rsid w:val="62FEE687"/>
    <w:rsid w:val="6BFBC0F6"/>
    <w:rsid w:val="777EC6F9"/>
    <w:rsid w:val="7BF779D3"/>
    <w:rsid w:val="7FDF01F7"/>
    <w:rsid w:val="8CE6CCF0"/>
    <w:rsid w:val="C7FDFD7D"/>
    <w:rsid w:val="CF876759"/>
    <w:rsid w:val="EB6CBBF2"/>
    <w:rsid w:val="EFBEECF6"/>
    <w:rsid w:val="F3FE6C48"/>
    <w:rsid w:val="FF6FE70B"/>
    <w:rsid w:val="FF7E9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3160</Words>
  <Characters>3526</Characters>
  <Lines>0</Lines>
  <Paragraphs>0</Paragraphs>
  <TotalTime>104</TotalTime>
  <ScaleCrop>false</ScaleCrop>
  <LinksUpToDate>false</LinksUpToDate>
  <CharactersWithSpaces>3526</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2025-01-28T19:06:00Z</dcterms:created>
  <dc:creator>山那边</dc:creator>
  <cp:lastModifiedBy>huawei</cp:lastModifiedBy>
  <dcterms:modified xsi:type="dcterms:W3CDTF">2026-03-18T11:39:56Z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A2609E6C41A37C8E94D2B76950DBE0CC_43</vt:lpwstr>
  </property>
  <property fmtid="{D5CDD505-2E9C-101B-9397-08002B2CF9AE}" pid="4" name="KSOTemplateDocerSaveRecord">
    <vt:lpwstr>eyJoZGlkIjoiOGY3ZTNjODYwZTBjNDFlMjFmMzBhZGUxNjBlMzg4Y2UiLCJ1c2VySWQiOiIxNDQ0MDc2MzA5In0=</vt:lpwstr>
  </property>
</Properties>
</file>